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97" w:rsidRDefault="00BF68E9" w:rsidP="00E76D97">
      <w:pPr>
        <w:tabs>
          <w:tab w:val="right" w:pos="9638"/>
        </w:tabs>
        <w:spacing w:after="60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</w:rPr>
        <w:t>DAT/</w:t>
      </w:r>
      <w:r w:rsidR="00652B38">
        <w:rPr>
          <w:rFonts w:ascii="Cambria" w:hAnsi="Cambria" w:cs="Cambria"/>
          <w:b/>
          <w:bCs/>
        </w:rPr>
        <w:t>11</w:t>
      </w:r>
      <w:r>
        <w:rPr>
          <w:rFonts w:ascii="Cambria" w:hAnsi="Cambria" w:cs="Cambria"/>
          <w:b/>
          <w:bCs/>
        </w:rPr>
        <w:t>/N/D/2015</w:t>
      </w:r>
      <w:r w:rsidR="00E76D97">
        <w:rPr>
          <w:rFonts w:ascii="Cambria" w:hAnsi="Cambria" w:cs="Cambria"/>
          <w:b/>
          <w:bCs/>
        </w:rPr>
        <w:tab/>
      </w:r>
      <w:r w:rsidR="00E76D97">
        <w:rPr>
          <w:rFonts w:ascii="Cambria" w:hAnsi="Cambria" w:cs="Cambria"/>
          <w:b/>
          <w:bCs/>
          <w:sz w:val="20"/>
          <w:szCs w:val="20"/>
        </w:rPr>
        <w:t>Załącznik nr 2/</w:t>
      </w:r>
      <w:r>
        <w:rPr>
          <w:rFonts w:ascii="Cambria" w:hAnsi="Cambria" w:cs="Cambria"/>
          <w:b/>
          <w:bCs/>
          <w:sz w:val="20"/>
          <w:szCs w:val="20"/>
        </w:rPr>
        <w:t>3</w:t>
      </w:r>
      <w:r w:rsidR="00E76D97">
        <w:rPr>
          <w:rFonts w:ascii="Cambria" w:hAnsi="Cambria" w:cs="Cambria"/>
          <w:b/>
          <w:bCs/>
          <w:sz w:val="20"/>
          <w:szCs w:val="20"/>
        </w:rPr>
        <w:t xml:space="preserve"> do SIWZ</w:t>
      </w:r>
    </w:p>
    <w:p w:rsidR="00830111" w:rsidRPr="0017085B" w:rsidRDefault="00FD6512" w:rsidP="00130B41">
      <w:pPr>
        <w:suppressAutoHyphens/>
        <w:spacing w:after="480"/>
        <w:rPr>
          <w:rFonts w:asciiTheme="majorHAnsi" w:hAnsiTheme="majorHAnsi"/>
          <w:b/>
          <w:sz w:val="36"/>
          <w:szCs w:val="36"/>
          <w:lang w:eastAsia="ar-SA"/>
        </w:rPr>
      </w:pPr>
      <w:r>
        <w:rPr>
          <w:rFonts w:asciiTheme="majorHAnsi" w:hAnsiTheme="majorHAnsi"/>
          <w:b/>
          <w:sz w:val="36"/>
          <w:szCs w:val="36"/>
          <w:lang w:eastAsia="ar-SA"/>
        </w:rPr>
        <w:t xml:space="preserve">Pakiet </w:t>
      </w:r>
      <w:r w:rsidR="00652B38">
        <w:rPr>
          <w:rFonts w:asciiTheme="majorHAnsi" w:hAnsiTheme="majorHAnsi"/>
          <w:b/>
          <w:sz w:val="36"/>
          <w:szCs w:val="36"/>
          <w:lang w:eastAsia="ar-SA"/>
        </w:rPr>
        <w:t>3</w:t>
      </w:r>
      <w:r w:rsidR="0017085B" w:rsidRPr="00A64A67">
        <w:rPr>
          <w:rFonts w:asciiTheme="majorHAnsi" w:hAnsiTheme="majorHAnsi"/>
          <w:b/>
          <w:sz w:val="36"/>
          <w:szCs w:val="36"/>
          <w:lang w:eastAsia="ar-SA"/>
        </w:rPr>
        <w:t xml:space="preserve"> — </w:t>
      </w:r>
      <w:r>
        <w:rPr>
          <w:rFonts w:asciiTheme="majorHAnsi" w:hAnsiTheme="majorHAnsi"/>
          <w:b/>
          <w:sz w:val="36"/>
          <w:szCs w:val="36"/>
          <w:lang w:eastAsia="ar-SA"/>
        </w:rPr>
        <w:t>Komputer przenośny</w:t>
      </w:r>
    </w:p>
    <w:tbl>
      <w:tblPr>
        <w:tblW w:w="4928" w:type="pct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7513"/>
      </w:tblGrid>
      <w:tr w:rsidR="00CE59DE" w:rsidRPr="008E526B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E59DE" w:rsidRPr="008E526B" w:rsidRDefault="00CE59DE" w:rsidP="004F6737">
            <w:pPr>
              <w:pStyle w:val="Nagwek1"/>
              <w:numPr>
                <w:ilvl w:val="0"/>
                <w:numId w:val="0"/>
              </w:numPr>
              <w:snapToGrid w:val="0"/>
              <w:jc w:val="center"/>
              <w:rPr>
                <w:rFonts w:asciiTheme="majorHAnsi" w:hAnsiTheme="majorHAnsi"/>
                <w:b/>
                <w:i w:val="0"/>
                <w:color w:val="000000" w:themeColor="text1"/>
                <w:sz w:val="20"/>
              </w:rPr>
            </w:pPr>
            <w:r w:rsidRPr="008E526B">
              <w:rPr>
                <w:rFonts w:asciiTheme="majorHAnsi" w:hAnsiTheme="majorHAnsi"/>
                <w:b/>
                <w:i w:val="0"/>
                <w:color w:val="000000" w:themeColor="text1"/>
                <w:sz w:val="20"/>
              </w:rPr>
              <w:t>Element specyfikacji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E59DE" w:rsidRPr="008E526B" w:rsidRDefault="00CE59DE" w:rsidP="004F6737">
            <w:pPr>
              <w:pStyle w:val="Nagwek1"/>
              <w:numPr>
                <w:ilvl w:val="0"/>
                <w:numId w:val="0"/>
              </w:numPr>
              <w:snapToGrid w:val="0"/>
              <w:jc w:val="center"/>
              <w:rPr>
                <w:rFonts w:asciiTheme="majorHAnsi" w:hAnsiTheme="majorHAnsi"/>
                <w:b/>
                <w:i w:val="0"/>
                <w:color w:val="000000" w:themeColor="text1"/>
                <w:sz w:val="20"/>
              </w:rPr>
            </w:pPr>
            <w:r w:rsidRPr="008E526B">
              <w:rPr>
                <w:rFonts w:asciiTheme="majorHAnsi" w:hAnsiTheme="majorHAnsi"/>
                <w:b/>
                <w:i w:val="0"/>
                <w:color w:val="000000" w:themeColor="text1"/>
                <w:sz w:val="20"/>
              </w:rPr>
              <w:t>Parametry wymagane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Zastosowanie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Komputer przenośny będzie wykorzystywany dla potrzeb aplikacji biurowych, aplikacji edukacyjnych, aplikacji obliczeniowych, dostępu do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internetu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oraz poczty elektronicznej, jako lokalna baza danych, stacja programistyczna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Przekątna ekranu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Komputer przenośny typu notebook z ekranem 14" o rozdzielczości: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FHD (1920 ×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 1080) z podświetleniem LED i powłoką przeciwodblaskową, jasność 300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nits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, kontrast 600:1 , maksymalny rozmiar plamki 0,162mm, tylna obudowa matrycy magnezowa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 xml:space="preserve">Procesor 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Procesor powinien osiągać w teście wydajności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PassMark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Performance Test co najmniej wynik 4360 punktów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Passmark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CPU Mark.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Wynik dostępny na stronie : </w:t>
            </w:r>
            <w:hyperlink r:id="rId6" w:history="1">
              <w:r w:rsidRPr="00F204BC">
                <w:rPr>
                  <w:rFonts w:asciiTheme="majorHAnsi" w:hAnsiTheme="majorHAnsi"/>
                  <w:sz w:val="20"/>
                  <w:szCs w:val="20"/>
                  <w:lang w:eastAsia="ar-SA"/>
                </w:rPr>
                <w:t>http://www.passmark.com/products/pt.htm</w:t>
              </w:r>
            </w:hyperlink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Płyta główna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Wyposażona przez producenta w dedykowany chipset dla oferowanego procesora. Zaprojektowana na zlecenie producenta i oznaczona trwale na etapie produkcji nazwą lub logiem producenta oferowanego komputera. 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Pamięć RAM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8GB DDR3L 1600 MHz możliwość rozbudowy do min 16GB, wymagane min. 2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sloty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na pamięci w tym min. jeden wolny 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Pamięć masowa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min. 256 SSD z wbudowanym sprzętowym szyfrowaniem (SED)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Karta graficzna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Zintegrowana w procesorze z możliwością dynamicznego przydzielenia pamięci systemowej, 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o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ferowana karta graficzna musi osiągać w teście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PassMark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Performance Test co najmniej wynik 825 punktów w G3D Rating, wynik dostępny na stronie : </w:t>
            </w:r>
            <w:hyperlink r:id="rId7" w:history="1">
              <w:r w:rsidRPr="00F204BC">
                <w:rPr>
                  <w:rFonts w:asciiTheme="majorHAnsi" w:hAnsiTheme="majorHAnsi"/>
                  <w:sz w:val="20"/>
                  <w:szCs w:val="20"/>
                  <w:lang w:eastAsia="ar-SA"/>
                </w:rPr>
                <w:t>http://www.videocardbenchmark.net/gpu_list.php</w:t>
              </w:r>
            </w:hyperlink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Klawiatura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Klawiatura z powłoka antybakteryjna, odporna na zalanie cieczą, z wbudowanym w klawiaturze podświetleniem z możliwością manualnej regulacji zarówno w BIOS jak z pod systemu operacyjnego, (układ US -QWERTY), min 82 klawisze, dedykowany kanał odprowadzający wodę z dedykowanym ujściem usytuowany w dolnej obudowie.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Multimedia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dwukanałowa (24-bitowa) karta dźwiękowa zintegrowana z płytą główną, zgodna z High Definition, wbudowane głośniki stereo o średniej mocy 2x 2W i szczytowej 2x 2,5W, wbudowany 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wewnętrzny wzmacniacz głośników, 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cyfrowy mikrofon wbudowany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w obudowę matrycy, 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Kamera internetowa o rozdzielczości min. 1280x720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pixels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trwale zainstalowana w obudowie matrycy. [ dla matrycy HD ]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Bateria i zasilanie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Min. 4-cell [52Whr]. Waga baterii nie większa niż 310g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, 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Umożliwiająca jej szybkie naładowanie do poziomu 80% w czasie 1 godziny i do poziomu 100% w czasie 2 godzin.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Zasilacz o mocy min. 65W,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Bateria demontowana bez konieczności użycia narzędzi i bez konieczności demontażu dolnej obudowy notebooka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Waga i wymiary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Waga max 1,70 kg z baterią 4-cell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,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s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zerokość: max 338 mm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s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ysokość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: max 21 mm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, g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łębokość: max 232 mm 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Obudowa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Szkielet obudowy i zawiasy notebooka wykonany z wzmacnianego metalu, dookoła matrycy gumowe uszczelnienie chroniące klawiaturę notebooka  po zamknięciu przed kurzem i wilgocią. Kąt otwarcia notebooka min 180 stopni. Obudowa spełniająca normy MIL-STD-810G [załączyć do oferty oświadczenie wykonawcy opatrzone numerem postępowania oraz poparte oświadczeniem producenta] z zakresu przeprowadzonych testów 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371"/>
            </w:tblGrid>
            <w:tr w:rsidR="00F204BC" w:rsidRPr="00F204BC" w:rsidTr="00C978CC">
              <w:trPr>
                <w:trHeight w:val="1996"/>
              </w:trPr>
              <w:tc>
                <w:tcPr>
                  <w:tcW w:w="0" w:type="auto"/>
                </w:tcPr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500.5 LOW PRESSURE (ALTITUDE)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 - Storage/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Air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Transport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500.5 LOW PRESSURE (ALTITUDE)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II -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Operation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/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Air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Carriage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501.5 HIGH TEMPERATURE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Induced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(Storage and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Transition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)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Conditions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501.5 HIGH TEMPERATURE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II –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Operation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Cycling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temperature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exposure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502.5 LOW TEMPERATURE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 (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Exaggerated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)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502.5 LOW TEMPERATURE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II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507.5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II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Humidity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Aggravated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Cycle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510.5 SAND AND DUST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514.6 VIBRATION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514.6 VIBRATION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516.6 SHOCK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I: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Functional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Shock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516.6 SHOCK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IV: Transit Drop;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Modified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to be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dropped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at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30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516.5 SHOCK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II: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Material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to be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Packaged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516.5 SHOCK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V: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Crash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Hazard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Shock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Method 516.6 SHOCK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Procedure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VI: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Bench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Handling </w:t>
                  </w:r>
                </w:p>
                <w:p w:rsidR="00F204BC" w:rsidRPr="00F204BC" w:rsidRDefault="00F204BC" w:rsidP="00F204BC">
                  <w:pPr>
                    <w:suppressAutoHyphens/>
                    <w:snapToGrid w:val="0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IP5x Dust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Ingress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Duration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: 8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hours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 (Current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result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 xml:space="preserve">: </w:t>
                  </w:r>
                  <w:proofErr w:type="spellStart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failed</w:t>
                  </w:r>
                  <w:proofErr w:type="spellEnd"/>
                  <w:r w:rsidRPr="00F204BC"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  <w:t>)</w:t>
                  </w:r>
                </w:p>
              </w:tc>
            </w:tr>
          </w:tbl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lastRenderedPageBreak/>
              <w:t>Wirtualizacja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Sprzętowe wsparcie technologii wirtualizacji  procesorów, pamięci i urządzeń I/O realizowane łącznie w procesorze, chipsecie płyty głównej oraz w BIOS systemu (możliwość włączenia/wyłączenia sprzętowego wsparcia wirtualizacji dla poszczególnych komponentów systemu).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Zarządzanie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Wbudowana w płytę główną technologia zarządzania i monitorowania komputerem na poziomie sprzętowym działająca niezależnie od stanu czy obecności systemu operacyjnego oraz stanu włączenia komputera podczas pracy na zasilaczu sieciowym AC, obsługująca zdalną komunikację sieciową w oparciu o protokół IPv4 oraz IPv6, a także zapewniająca: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monitorowanie konfiguracji komponentów komputera - CPU, Pamięć, HDD wersja BIOS płyty głównej;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zdalną konfigurację ustawień BIOS,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zdalne przejęcie konsoli tekstowej systemu, przekierowanie procesu ładowania systemu operacyjnego z wirtualnego CD ROM lub FDD z  serwera zarządzającego;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zdalne przejęcie pełnej konsoli graficznej systemu tzw. KVM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Redirection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(Keyboard, Video, Mouse) bez udziału systemu operacyjnego ani dodatkowych programów, również w przypadku braku lub uszkodzenia systemu operacyjnego do rozdzielczości 1920x1080 włącznie.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zapis i przechowywanie dodatkowych informacji dot. np. o wersji zainstalowanego oprogramowania i zdalny odczyt tych informacji z wbudowanej pamięci nieulotnej.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technologia zarządzania i monitorowania komputerem na poziomie sprzętowym powinna być zgodna z otwartymi standardami DMTF WS-MAN 1.0.0 (</w:t>
            </w:r>
            <w:hyperlink r:id="rId8" w:history="1">
              <w:r w:rsidRPr="00F204BC">
                <w:rPr>
                  <w:rFonts w:asciiTheme="majorHAnsi" w:hAnsiTheme="majorHAnsi"/>
                  <w:sz w:val="20"/>
                  <w:szCs w:val="20"/>
                  <w:lang w:eastAsia="ar-SA"/>
                </w:rPr>
                <w:t>http://www.dmtf.org/standards/wsman</w:t>
              </w:r>
            </w:hyperlink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)  oraz  DASH 1.0.0 (</w:t>
            </w:r>
            <w:hyperlink r:id="rId9" w:history="1">
              <w:r w:rsidRPr="00F204BC">
                <w:rPr>
                  <w:rFonts w:asciiTheme="majorHAnsi" w:hAnsiTheme="majorHAnsi"/>
                  <w:sz w:val="20"/>
                  <w:szCs w:val="20"/>
                  <w:lang w:eastAsia="ar-SA"/>
                </w:rPr>
                <w:t>http://www.dmtf.org/standards/mgmt/dash/</w:t>
              </w:r>
            </w:hyperlink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)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nawiazywanie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przez sprzętowy mechanizm zarządzania, zdalnego szyfrowanego protokołem SSL/TLS połączenia z predefiniowanym serwerem zarządzającym, w definiowanych odstępach czasu, w przypadku wystąpienia predefiniowanego zdarzenia lub błędu systemowego (tzw. platform event) oraz na żądanie użytkownika z poziomu BIOS.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wbudowany sprzętowo log operacji  zdalnego zarządzania, możliwy do kasowania tylko przez upoważnionego użytkownika systemu sprzętowego zarządzania zdalnego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sprzętowy firewall zarządzany i konfigurowany wyłącznie z serwera zarządzania oraz niedostępny dla lokalnego systemu OS i lokalnych aplikacji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ww. wbudowana w płytę główną technologia zarządzania i monitorowania komputerem na poziomie sprzętowym - powinna pozwalać na konfigurację parametrów funkcji zarządzania ( m.in. parametrów kont uprawnionych do zarządzania sprzętowego) każdym z następujących mechanizmów: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br/>
              <w:t>- lokalnie (na komputerze zarządzanym), bez udziału systemu operacyjnego - tj. manualnie z poziomu modułu BIOS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lokalnie (na komputerze zarządzanym), bez udziału systemu operacyjnego - tj. z poziomu modułu BIOS przy użyciu pliku  parametrów konfiguracji na nośniku USB. Należy dostarczyć odpowiednie narzędzie/oprogramowanie do tworzenia pliku parametrów konfiguracji na nośnik USB.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- zdalnie poprzez sieć LAN z wykorzystaniem szyfrowanego połączenia – za pomocą narzędzia/oprogramowania konfigurującego.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Szyfracja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połączenia LAN powinna pozwalać  na wykorzystanie zarówno definiowanego przez użytkownika klucza symetrycznego PSK lub wbudowanych w technologię certyfikatów cyfrowych /kluczy asymetrycznych 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Należy dostarczyć odpowiednie narzędzie do definiowania pliku parametrów konfiguracji oraz narzędzie/oprogramowanie konfigurujące.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lokalnie (na komputerze zarządzanym) z poziomu systemu operacyjnego przy użyciu odpowiedniego narzędzia. Należy dostarczyć odpowiednie narzędzie do definiowania pliku parametrów konfiguracji oraz narzędzie/oprogramowanie konfigurujące.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Sprzętowe wsparcie technologii weryfikacji poprawności podpisu cyfrowego   wykonywanego kodu oprogramowania, oraz sprzętowa izolacja segmentów pamięci dla kodu wykonywanego w trybie zaufanym  wbudowane w procesor, kontroler pamięci, chipset I/O.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Wbudowana w płytę główna technologia zabezpieczająca pozwalająca na sprzętową, trwałą blokadę możliwości uruchomienia komputera – po jego zablokowaniu zdalnie poprzez sieć Internet  lub lokalnie w po definiowalnym przez użytkownika czasie.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br/>
              <w:t xml:space="preserve">Technologia ta powinna zapewniać możliwość odblokowania komputera przez legalnego użytkownika po poprawnej autoryzacji predefiniowanym kodem numerycznym lub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hasłem.kodem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jednorazowego użytku. </w:t>
            </w: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br/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Wbudowany w płytę główną dodatkowy mikroprocesor,  niezależny od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głownego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procesora laptopa, pozwalający na generowanie hasła jednorazowego użytku (OTP –One Time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Password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)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n.p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. z wykorzystaniem  OATH.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lastRenderedPageBreak/>
              <w:t>BIOS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BIOS producenta oferowanego komputera zgodny ze specyfikacją UEFI, wymagana pełna obsługa za pomocą klawiatury i myszy lub urządzenia wskazującego zintegrowanego ( wmontowanego na stałe ) w oferowanym urządzeniu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Możliwość, bez uruchamiania systemu operacyjnego z dysku twardego komputera lub innych, podłączonych do niego urządzeń zewnętrznych odczytania z BIOS informacji o: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wersji BIOS,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nr seryjnego komputera,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numeru wpisanego i nadanego przez administratora ( o ile został wpisany, jeśli brak – wymaga się wolnego pola )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dacie produkcji komputera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dacie wysyłki komputera z fabryki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serwisowym kodzie dla komputera nadawanym na etapie produkcji w fabryce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całkowitej wielkości zainstalowanej pamięci RAM,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dostępnej dla systemu pamięci RAM,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prędkości zainstalowanej pamięci RAM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technologii wykonania pamięci RAM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sposobu obsadzenia slotów DIMM z rozbiciem na bank A i B ( w przypadku obsadzenia tylko jednej kości pamięci drugi bank wolne pole )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typie zainstalowanego procesora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liczbie rdzeni procesora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numerze ID producenta procesora ( w celu weryfikacji partii zainstalowanych procesorów )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minimalnej prędkości zegara procesora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maksymalnej prędkości zegara procesora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wielkości pamięci podręcznej procesora L2 cache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wielkości pamięci podręcznej procesora L3 cache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czy jest aktywna w zainstalowanym procesorze technologia wielowątkowości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technologii xx-bit procesora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zainstalowanym i podpiętym HDD ( mini SSD)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kontrolerze video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wersji BIOS kontrolera video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pamięci kontrolera video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typie zainstalowanego w komputerze panelu LCD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natywnej rozdzielczości zainstalowanego w komputerze panelu LCD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kontrolerze audio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zainstalowanej karcie Wifi (jeśli brak w wymaganiach specyfikacji dopuszcza się puste pole)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zainstalowanym Bluetooth (jeśli brak w wymaganiach specyfikacji dopuszcza się puste pole)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zainstalowanym modemie dla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internetu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bezprzewodowego (jeśli brak w wymaganiach specyfikacji dopuszcza się puste pole)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Funkcja blokowania/odblokowania BOOT-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owania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stacji roboczej z zewnętrznych urządzeń.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Funkcja blokowania/odblokowania BOOT-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owania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stacji roboczej z USB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Możliwość, bez uruchamiania systemu operacyjnego z dysku twardego komputera lub innych, podłączonych do niego urządzeń zewnętrznych,  ustawienia hasła na poziomie systemu, administratora oraz dysku twardego oraz możliwość ustawienia następujących zależności pomiędzy nimi.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Musi posiadać możliwość ustawienia zależności pomiędzy hasłem administratora a hasłem systemowym tak, aby nie było możliwe wprowadzenie zmian w BIOS wyłącznie po podaniu hasła systemowego.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wbudowanej karty sieciowej LAN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PXE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portu równoległego oraz portów PS2 osiąganego za pomocą stacji dokującej [funkcja zaimplementowana na stałe w BIOS ale aktywna przy wpiętym komputerze do dedykowanej stacji dokującej],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portu szeregowego osiąganego za pomocą stacji dokującej [funkcja zaimplementowana na stałe w BIOS aktywna przy wpiętym komputerze do dedykowanej stacji dokującej] oraz możliwość manipulowania adresem portu : COM1, COM2, COM3 i COM4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w dowolnej kombinacji (w tym też pojedynczej) zainstalowanych dysków twardych,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ręcznego ustawienia trybu pracy zintegrowanego kontrolera SATA w min. trybach :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wyłączony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AHCI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RAID [funkcja zaimplementowana na stałe w BIOS ale aktywna przy zainstalowanych dwóch dyskach twardych],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lastRenderedPageBreak/>
              <w:t xml:space="preserve">Możliwość włączenia/wyłączenia technologii raportowania i zgłaszania błędu zainstalowanego dysku twardego podczas uruchamiania systemu, technologia ta jest analizą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samokontrolną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zintegrowanego kontrolera USB,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Możliwość włączenia/wyłączenia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dosilenia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portu USB,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zintegrowanego kontrolera audio,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podświetlenia wbudowanego w klawiaturę [funkcja zaimplementowana na stałe w BIOS ale aktywna przy zainstalowanej klawiaturze z wbudowanym podświetleniem],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urządzeń :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mikrofon [funkcja zaimplementowana na stałe w BIOS ale aktywna przy zainstalowanym mikrofonie]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kamery [funkcja zaimplementowana na stałe w BIOS ale aktywna przy zainstalowanej kamerze]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czytnika multimedialnych kart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szybkiego ładownia baterii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funkcjonalności Wake On LAN/WLAN – zdalne uruchomienie komputera za pośrednictwem sieci LAN i WLAN – min. trzy opcje do wyboru: tylko LAN, tylko WLAN, LAN oraz WLAN,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włączenia/wyłączenia hasła dla dysku twardego,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ustawienia jasności matrycy podczas pracy, oddzielnie dla baterii i dla zasilacza,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Możliwość, bez uruchamiania systemu operacyjnego z dysku twardego komputera lub innych, podłączonych do niego urządzeń zewnętrznych  włączenia lub wyłączenia Virtual Machine Monitor (VMM) [funkcja zaimplementowana na stałe w BIOS ale aktywna przy procesorze w pełni wspierającym VMM]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Możliwość, bez uruchamiania systemu operacyjnego z dysku twardego komputera lub innych, podłączonych do niego urządzeń zewnętrznych  włączenia lub wyłączenia funkcji VT dla Direct I/O [funkcja zaimplementowana na stałe w BIOS ale aktywna przy procesorze w pełni wspierającym funkcję VT dla Direct I/O]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ręcznego zdefiniowania zapotrzebowania na ilość rdzeni procesora dla aplikacji a w szczególności dla starszych, mających problemy z nowymi procesorami, wymagane min. dwa tryby :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aktywny jeden rdzeń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aktywne dwa rdzenie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Możliwość ręcznego włączenia/wyłączenia funkcji, która pozwalająca na dynamiczną zmianę wartości </w:t>
            </w:r>
            <w:hyperlink r:id="rId10" w:tooltip="Mnożnik (procesor CPU)" w:history="1">
              <w:r w:rsidRPr="00F204BC">
                <w:rPr>
                  <w:rFonts w:asciiTheme="majorHAnsi" w:hAnsiTheme="majorHAnsi"/>
                  <w:sz w:val="20"/>
                  <w:szCs w:val="20"/>
                  <w:lang w:eastAsia="ar-SA"/>
                </w:rPr>
                <w:t>mnożnika</w:t>
              </w:r>
            </w:hyperlink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i </w:t>
            </w:r>
            <w:hyperlink r:id="rId11" w:tooltip="Napięcie elektryczne" w:history="1">
              <w:r w:rsidRPr="00F204BC">
                <w:rPr>
                  <w:rFonts w:asciiTheme="majorHAnsi" w:hAnsiTheme="majorHAnsi"/>
                  <w:sz w:val="20"/>
                  <w:szCs w:val="20"/>
                  <w:lang w:eastAsia="ar-SA"/>
                </w:rPr>
                <w:t>napięcia</w:t>
              </w:r>
            </w:hyperlink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[funkcja związana z architekturą procesora, nie dopuszcza się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overclokingu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,  zaimplementowana na stałe w BIOS ale aktywna przy procesorze w pełni wspierającym],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ręcznego włączenia/wyłączenia funkcji uśpienia procesora dla systemu operacyjnego w trybie bezczynności w celu zwiększenia oszczędności energii [funkcja zaimplementowana na stałe w BIOS ale aktywna przy procesorze w pełni wspierającym]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Możliwość ręcznego włączenia/wyłączenia funkcji procesora, która automatycznie zwiększa </w:t>
            </w:r>
            <w:hyperlink r:id="rId12" w:tooltip="Taktowanie" w:history="1">
              <w:r w:rsidRPr="00F204BC">
                <w:rPr>
                  <w:rFonts w:asciiTheme="majorHAnsi" w:hAnsiTheme="majorHAnsi"/>
                  <w:sz w:val="20"/>
                  <w:szCs w:val="20"/>
                  <w:lang w:eastAsia="ar-SA"/>
                </w:rPr>
                <w:t>taktowanie</w:t>
              </w:r>
            </w:hyperlink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</w:t>
            </w:r>
            <w:hyperlink r:id="rId13" w:tooltip="Procesor" w:history="1">
              <w:r w:rsidRPr="00F204BC">
                <w:rPr>
                  <w:rFonts w:asciiTheme="majorHAnsi" w:hAnsiTheme="majorHAnsi"/>
                  <w:sz w:val="20"/>
                  <w:szCs w:val="20"/>
                  <w:lang w:eastAsia="ar-SA"/>
                </w:rPr>
                <w:t>procesora</w:t>
              </w:r>
            </w:hyperlink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, gdy </w:t>
            </w:r>
            <w:hyperlink r:id="rId14" w:tooltip="Komputer" w:history="1">
              <w:r w:rsidRPr="00F204BC">
                <w:rPr>
                  <w:rFonts w:asciiTheme="majorHAnsi" w:hAnsiTheme="majorHAnsi"/>
                  <w:sz w:val="20"/>
                  <w:szCs w:val="20"/>
                  <w:lang w:eastAsia="ar-SA"/>
                </w:rPr>
                <w:t>komputerowi</w:t>
              </w:r>
            </w:hyperlink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potrzebna jest wyższa prędkość obliczeniowa [funkcja zaimplementowana na stałe w BIOS ale aktywna przy procesorze w pełni wspierającym],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ręcznego włączenia/wyłączenia funkcji procesora, która automatycznie zwiększa wydajność obliczeń prowadzonych równolegle [funkcja zaimplementowana na stałe w BIOS ale aktywna przy procesorze w pełni wspierającym],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Możliwość przypisania w BIOS numeru nadawanego przez Administratora/Użytkownika oraz możliwość weryfikacji tego numeru w oprogramowaniu diagnostyczno-zarządzającym.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Oferowany BIOS musi posiadać poza swoją wewnętrzną strukturą menu szybkiego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boot’owania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które umożliwia min. :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uruchamianie z system zainstalowanego na HDD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uruchamianie systemy z urządzeń zewnętrznych typu HDD-USB, USB Pendrive, CDRW-USB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uruchamianie systemu z serwera za pośrednictwem zintegrowanej karty sieciowej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uruchamianie systemu z karty SD (funkcja aktywna automatycznie po zainstalowaniu karty SD w czytniku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uruchomienie graficznego systemu diagnostycznego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wejścia do BIOS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-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upgrade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BIOS bez konieczności uruchamiania systemu operacyjnego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- zmiany sposobu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boot’owania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z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Legacy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na UEFI lub z UEFI na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Legacy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bez konieczności wchodzenia do BIOS.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dostęp do konsoli zaimplementowanej konsoli zarządzania zdalnego ( funkcja automatycznie aktywna w przypadku zaoferowania komputera z zdalnym zarządzaniem )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lastRenderedPageBreak/>
              <w:t>Certyfikaty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277415" w:rsidRDefault="00F204BC" w:rsidP="00F204BC">
            <w:pPr>
              <w:suppressAutoHyphens/>
              <w:snapToGrid w:val="0"/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</w:pPr>
            <w:r w:rsidRPr="00277415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Certyfikat ISO9001:2000 dla producenta sprzętu (należy załączyć do oferty)</w:t>
            </w:r>
          </w:p>
          <w:p w:rsidR="00F204BC" w:rsidRPr="00277415" w:rsidRDefault="00F204BC" w:rsidP="00F204BC">
            <w:pPr>
              <w:suppressAutoHyphens/>
              <w:snapToGrid w:val="0"/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</w:pPr>
            <w:r w:rsidRPr="00277415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Certyfikat ISO 14001 dla producenta sprzętu (należy załączyć do oferty)</w:t>
            </w:r>
          </w:p>
          <w:p w:rsidR="00F204BC" w:rsidRPr="00277415" w:rsidRDefault="00F204BC" w:rsidP="00F204BC">
            <w:pPr>
              <w:suppressAutoHyphens/>
              <w:snapToGrid w:val="0"/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</w:pPr>
            <w:r w:rsidRPr="00277415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Deklaracja zgodności CE (załączyć do oferty)</w:t>
            </w:r>
          </w:p>
          <w:p w:rsidR="00F204BC" w:rsidRPr="00277415" w:rsidRDefault="00F204BC" w:rsidP="00F204BC">
            <w:pPr>
              <w:suppressAutoHyphens/>
              <w:snapToGrid w:val="0"/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</w:pPr>
            <w:r w:rsidRPr="00277415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:rsidR="00F204BC" w:rsidRPr="00277415" w:rsidRDefault="00F204BC" w:rsidP="00F204BC">
            <w:pPr>
              <w:suppressAutoHyphens/>
              <w:snapToGrid w:val="0"/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</w:pPr>
            <w:r w:rsidRPr="00277415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 xml:space="preserve">Potwierdzenie kompatybilności komputera na stronie Windows </w:t>
            </w:r>
            <w:proofErr w:type="spellStart"/>
            <w:r w:rsidRPr="00277415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Logo'd</w:t>
            </w:r>
            <w:proofErr w:type="spellEnd"/>
            <w:r w:rsidRPr="00277415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 xml:space="preserve"> Products List na daną platformę systemową (wydruk ze strony)</w:t>
            </w:r>
          </w:p>
          <w:p w:rsidR="00F204BC" w:rsidRPr="00277415" w:rsidRDefault="00F204BC" w:rsidP="00F204BC">
            <w:pPr>
              <w:suppressAutoHyphens/>
              <w:snapToGrid w:val="0"/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</w:pPr>
            <w:r w:rsidRPr="00277415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 xml:space="preserve">Certyfikat </w:t>
            </w:r>
            <w:proofErr w:type="spellStart"/>
            <w:r w:rsidRPr="00277415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EnergyStar</w:t>
            </w:r>
            <w:proofErr w:type="spellEnd"/>
            <w:r w:rsidRPr="00277415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 xml:space="preserve"> 6.0 – załączyć do oferty oświadczenie wykonawcy opatrzone numerem postępowania oraz poparte oświadczeniem producenta.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Ergonomia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277415" w:rsidRDefault="00F204BC" w:rsidP="00F204BC">
            <w:pPr>
              <w:suppressAutoHyphens/>
              <w:snapToGrid w:val="0"/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</w:pPr>
            <w:r w:rsidRPr="00277415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 xml:space="preserve">Głośność jednostki centralnej mierzona zgodnie z normą ISO 7779 oraz wykazana zgodnie z normą ISO 9296 w pozycji obserwatora w trybie pracy dysku twardego (IDLE) wynosząca maksymalnie 17dB (załączyć do oferty oświadczenie wykonawcy opatrzone numerem postępowania oraz poparte oświadczeniem producenta wraz z raportem badawczym wystawionym przez niezależną  akredytowaną jednostkę) 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Diagnostyka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Wbudowany system diagnostyczny z graficznym interfejsem użytkownika dostępny z poziomu szybkiego menu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boot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umożliwiający jednoczesne przetestowanie w celu wykrycia usterki zainstalowanych komponentów w oferowanym komputerze bez konieczności uruchamiania systemu operacyjnego. System opatrzony min. o funkcjonalność :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 test procesora [ min. cache ]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 test pamięci,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 test baterii,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 test wentylatora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 test dysku twardego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 test partycji rozruchowej systemu OS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 test matrycy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 test zasilacza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 test karty graficznej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-  test portów USB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Wbudowany wizualny system diagnostyczny oparty na sygnalizacji za pomocą diod sygnalizujących pracę HDD,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zailania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WiFi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umożliwiający wykrycie bez konieczności uruchamiania systemu operacyjnego min.: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          - awarii procesora,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          - błędu pamięci,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          - problemu z inicjalizacją systemu OS z HDD,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          - awarii karty graficznej,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          - awarii portów USB,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          - braku pamięci,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          - problemu z panelem LCD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          - problemu z zainicjowaniem/obsługą pamięci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Bezpieczeństwo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Zintegrowany z płytą główną dedykowany układ sprzętowy służący do tworzenia i zarządzania wygenerowanymi przez komputer kluczami szyfrowania. Próba usunięcia układu powoduje uszkodzenie płyty głównej. Zabezpieczenie to musi posiadać możliwość szyfrowania poufnych dokumentów przechowywanych na dysku twardym przy użyciu klucza sprzętowego.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Weryfikacja wygenerowanych przez komputer kluczy szyfrowania musi odbywać się w dedykowanym chipsecie na płycie głównej.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Czujnik spadania zintegrowany z płytą główną działający nawet przy wyłączonym notebooku oraz konstrukcja absorbująca wstrząsy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Złącze typu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Kensington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Lock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System operacyjny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Zainstalowany system operacyjny Windows 7 Professional na licencji Windows 8 Professional lub Windows 8.1 Professional + nośnik], klucz licencyjny Windows 8.x Professional musi być zapisany trwale w BIOS i umożliwiać instalację systemu operacyjnego na podstawie dołączonego nośnika bezpośrednio z wbudowanego napędu lub zdalnie bez potrzeby ręcznego wpisywania klucza licencyjnego. Oferowany dostarczony system jak i również przy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reinstalacji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nie może wymagać aktywacji klucza licencyjnego za pośrednictwem telefonu i Internetu.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Porty i złącza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Wbudowane porty i złącza :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1x 15-pin mini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DisplayPort</w:t>
            </w:r>
            <w:proofErr w:type="spellEnd"/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1x 19-pin HDMI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1x RJ-45 (10/100/1000)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2x USB 3.0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1x USB 3.0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dosilony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, przeznaczony min. do obsługi bez dodatkowego zasilania zewnętrznych HDD 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slot na karty SIM, nie wymagający instalacji karty SIM przez demontaż pokrywy notebooka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czytnik kart multimedialny wspierający karty SD 4.0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czytnik linii papilarnych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lastRenderedPageBreak/>
              <w:t xml:space="preserve">współdzielone złącze słuchawkowe stereo i złącze mikrofonowe tzw.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combo</w:t>
            </w:r>
            <w:proofErr w:type="spellEnd"/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Dedykowany port umożliwiający podłączenie dedykowanej stacji dokującej [ nie dopuszcza się stosowania rozwiązania tzw.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replikator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portów podłączany przez port USB ]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port zasilania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modem 4G LTE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moduł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bluetooth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4.0 dopuszcza się współdzielony z kartą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WiFi</w:t>
            </w:r>
            <w:proofErr w:type="spellEnd"/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touchpad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z strefą przewijania w pionie, poziomie wraz z obsługą gestów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Zintegrowana w postaci wewnętrznego modułu mini-PCI Express karta sieci  WLAN obsługująca łącznie standardy  IEEE 802.11 </w:t>
            </w:r>
            <w:proofErr w:type="spellStart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ac</w:t>
            </w:r>
            <w:proofErr w:type="spellEnd"/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/a/b/g/n</w:t>
            </w:r>
          </w:p>
        </w:tc>
      </w:tr>
      <w:tr w:rsidR="00F204BC" w:rsidRPr="00F204BC" w:rsidTr="005913C6">
        <w:trPr>
          <w:trHeight w:val="284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lastRenderedPageBreak/>
              <w:t>Warunki gwarancyjne</w:t>
            </w:r>
          </w:p>
        </w:tc>
        <w:tc>
          <w:tcPr>
            <w:tcW w:w="3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3-letnia gwarancja producenta świadczona na miejscu u klienta, Czas reakcji serwisu - do końca następnego dnia roboczego.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F204BC">
              <w:rPr>
                <w:rFonts w:asciiTheme="majorHAnsi" w:hAnsiTheme="majorHAnsi"/>
                <w:sz w:val="20"/>
                <w:szCs w:val="20"/>
                <w:lang w:eastAsia="ar-SA"/>
              </w:rPr>
              <w:t>W przypadku awarii dysków twardych dysk pozostaje u Zamawiającego – wymagane jest dołączenie do oferty oświadczenia podmiotu realizującego serwis lub producenta sprzętu o spełnieniu tego warunku</w:t>
            </w:r>
          </w:p>
          <w:p w:rsidR="00F204BC" w:rsidRPr="00584862" w:rsidRDefault="00F204BC" w:rsidP="00F204BC">
            <w:pPr>
              <w:suppressAutoHyphens/>
              <w:snapToGrid w:val="0"/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</w:pPr>
            <w:r w:rsidRPr="00584862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:rsidR="00F204BC" w:rsidRPr="00F204BC" w:rsidRDefault="00F204BC" w:rsidP="00F204BC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584862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Serwis urządzeń musi być realizowany przez Producenta lub Autoryzowanego Partnera Serwisowego Producenta – wymagane dołączenie do oferty oświadczenia Producenta potwierdzonego, że serwis będzie realizowany przez Autoryzowanego Partnera Serwisowego Producenta lub bezpośrednio przez Producenta</w:t>
            </w:r>
          </w:p>
        </w:tc>
      </w:tr>
    </w:tbl>
    <w:p w:rsidR="008E526B" w:rsidRPr="00F204BC" w:rsidRDefault="008E526B" w:rsidP="00F204BC">
      <w:pPr>
        <w:suppressAutoHyphens/>
        <w:snapToGrid w:val="0"/>
        <w:rPr>
          <w:rFonts w:asciiTheme="majorHAnsi" w:hAnsiTheme="majorHAnsi"/>
          <w:b/>
          <w:sz w:val="20"/>
          <w:szCs w:val="20"/>
          <w:lang w:eastAsia="ar-SA"/>
        </w:rPr>
      </w:pPr>
      <w:bookmarkStart w:id="0" w:name="_GoBack"/>
      <w:bookmarkEnd w:id="0"/>
    </w:p>
    <w:sectPr w:rsidR="008E526B" w:rsidRPr="00F204BC" w:rsidSect="00DB0441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35754"/>
    <w:multiLevelType w:val="hybridMultilevel"/>
    <w:tmpl w:val="04F6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8F3DCD"/>
    <w:multiLevelType w:val="hybridMultilevel"/>
    <w:tmpl w:val="67E401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E3003F"/>
    <w:multiLevelType w:val="hybridMultilevel"/>
    <w:tmpl w:val="196EF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63E48"/>
    <w:multiLevelType w:val="hybridMultilevel"/>
    <w:tmpl w:val="0A2A2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8B2341"/>
    <w:multiLevelType w:val="hybridMultilevel"/>
    <w:tmpl w:val="6A54A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EE4C73"/>
    <w:multiLevelType w:val="hybridMultilevel"/>
    <w:tmpl w:val="A658ECF4"/>
    <w:lvl w:ilvl="0" w:tplc="BF8876D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F0B1F9A"/>
    <w:multiLevelType w:val="hybridMultilevel"/>
    <w:tmpl w:val="FFE47542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26513A"/>
    <w:multiLevelType w:val="hybridMultilevel"/>
    <w:tmpl w:val="6A92F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8"/>
  </w:num>
  <w:num w:numId="12">
    <w:abstractNumId w:val="3"/>
  </w:num>
  <w:num w:numId="13">
    <w:abstractNumId w:val="1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4"/>
  </w:num>
  <w:num w:numId="19">
    <w:abstractNumId w:val="6"/>
  </w:num>
  <w:num w:numId="20">
    <w:abstractNumId w:val="1"/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0111"/>
    <w:rsid w:val="0000355E"/>
    <w:rsid w:val="00006434"/>
    <w:rsid w:val="00050693"/>
    <w:rsid w:val="00052858"/>
    <w:rsid w:val="000A410E"/>
    <w:rsid w:val="000C79D3"/>
    <w:rsid w:val="00130B41"/>
    <w:rsid w:val="0017085B"/>
    <w:rsid w:val="001734F7"/>
    <w:rsid w:val="002757C6"/>
    <w:rsid w:val="00277415"/>
    <w:rsid w:val="002A5750"/>
    <w:rsid w:val="002C7E07"/>
    <w:rsid w:val="002F5DDD"/>
    <w:rsid w:val="002F5F3B"/>
    <w:rsid w:val="003D366F"/>
    <w:rsid w:val="00497E31"/>
    <w:rsid w:val="004C27FD"/>
    <w:rsid w:val="004D77BD"/>
    <w:rsid w:val="00584862"/>
    <w:rsid w:val="005913C6"/>
    <w:rsid w:val="005C6B14"/>
    <w:rsid w:val="005D311E"/>
    <w:rsid w:val="00652B38"/>
    <w:rsid w:val="00655FF6"/>
    <w:rsid w:val="006810FD"/>
    <w:rsid w:val="00683D7C"/>
    <w:rsid w:val="006A2BBB"/>
    <w:rsid w:val="006E57A3"/>
    <w:rsid w:val="007027C6"/>
    <w:rsid w:val="00704B24"/>
    <w:rsid w:val="007C0DC6"/>
    <w:rsid w:val="007F630C"/>
    <w:rsid w:val="00830111"/>
    <w:rsid w:val="008578E9"/>
    <w:rsid w:val="008E4AE2"/>
    <w:rsid w:val="008E526B"/>
    <w:rsid w:val="00936EA3"/>
    <w:rsid w:val="0094727A"/>
    <w:rsid w:val="0099570D"/>
    <w:rsid w:val="00A42B97"/>
    <w:rsid w:val="00A45268"/>
    <w:rsid w:val="00AA7312"/>
    <w:rsid w:val="00AE58BE"/>
    <w:rsid w:val="00AE7E40"/>
    <w:rsid w:val="00B13746"/>
    <w:rsid w:val="00BF68E9"/>
    <w:rsid w:val="00C04FF4"/>
    <w:rsid w:val="00CE59DE"/>
    <w:rsid w:val="00DB0441"/>
    <w:rsid w:val="00DB2B14"/>
    <w:rsid w:val="00DC4B8A"/>
    <w:rsid w:val="00DE5EC6"/>
    <w:rsid w:val="00E045D3"/>
    <w:rsid w:val="00E76D97"/>
    <w:rsid w:val="00F11E5E"/>
    <w:rsid w:val="00F204BC"/>
    <w:rsid w:val="00F54C45"/>
    <w:rsid w:val="00FA488F"/>
    <w:rsid w:val="00FA5517"/>
    <w:rsid w:val="00FB0B38"/>
    <w:rsid w:val="00FC354B"/>
    <w:rsid w:val="00FD6512"/>
    <w:rsid w:val="00FD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7085B"/>
    <w:pPr>
      <w:keepNext/>
      <w:numPr>
        <w:numId w:val="1"/>
      </w:numPr>
      <w:suppressAutoHyphens/>
      <w:outlineLvl w:val="0"/>
    </w:pPr>
    <w:rPr>
      <w:i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danie">
    <w:name w:val="Zadanie"/>
    <w:basedOn w:val="Normalny"/>
    <w:rsid w:val="00B13746"/>
    <w:pPr>
      <w:keepNext/>
      <w:keepLines/>
      <w:spacing w:before="360" w:after="80"/>
    </w:pPr>
    <w:rPr>
      <w:b/>
      <w:sz w:val="22"/>
      <w:szCs w:val="20"/>
    </w:rPr>
  </w:style>
  <w:style w:type="paragraph" w:customStyle="1" w:styleId="Zestawienie">
    <w:name w:val="Zestawienie"/>
    <w:basedOn w:val="Normalny"/>
    <w:next w:val="Zadanie"/>
    <w:rsid w:val="00B13746"/>
    <w:pPr>
      <w:keepNext/>
      <w:spacing w:before="240" w:after="80"/>
      <w:contextualSpacing/>
    </w:pPr>
    <w:rPr>
      <w:b/>
      <w:sz w:val="20"/>
      <w:szCs w:val="20"/>
    </w:rPr>
  </w:style>
  <w:style w:type="character" w:customStyle="1" w:styleId="tah8b1">
    <w:name w:val="tah8b1"/>
    <w:basedOn w:val="Domylnaczcionkaakapitu"/>
    <w:rsid w:val="00830111"/>
    <w:rPr>
      <w:rFonts w:ascii="Tahoma" w:hAnsi="Tahoma" w:cs="Tahoma" w:hint="default"/>
      <w:b/>
      <w:bCs/>
      <w:strike w:val="0"/>
      <w:dstrike w:val="0"/>
      <w:sz w:val="16"/>
      <w:szCs w:val="16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17085B"/>
    <w:pPr>
      <w:suppressAutoHyphens/>
      <w:ind w:left="720"/>
      <w:contextualSpacing/>
    </w:pPr>
    <w:rPr>
      <w:lang w:val="en-GB" w:eastAsia="ar-SA"/>
    </w:rPr>
  </w:style>
  <w:style w:type="character" w:customStyle="1" w:styleId="Nagwek1Znak">
    <w:name w:val="Nagłówek 1 Znak"/>
    <w:basedOn w:val="Domylnaczcionkaakapitu"/>
    <w:link w:val="Nagwek1"/>
    <w:rsid w:val="0017085B"/>
    <w:rPr>
      <w:rFonts w:ascii="Times New Roman" w:eastAsia="Times New Roman" w:hAnsi="Times New Roman" w:cs="Times New Roman"/>
      <w:i/>
      <w:sz w:val="26"/>
      <w:szCs w:val="20"/>
      <w:lang w:eastAsia="ar-SA"/>
    </w:rPr>
  </w:style>
  <w:style w:type="paragraph" w:customStyle="1" w:styleId="Tabelapozycja">
    <w:name w:val="Tabela pozycja"/>
    <w:basedOn w:val="Normalny"/>
    <w:rsid w:val="00FD6512"/>
    <w:rPr>
      <w:rFonts w:ascii="Arial" w:eastAsia="MS Outlook" w:hAnsi="Arial"/>
      <w:sz w:val="22"/>
      <w:szCs w:val="20"/>
    </w:rPr>
  </w:style>
  <w:style w:type="character" w:styleId="Hipercze">
    <w:name w:val="Hyperlink"/>
    <w:basedOn w:val="Domylnaczcionkaakapitu"/>
    <w:rsid w:val="00FD65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38461">
          <w:marLeft w:val="60"/>
          <w:marRight w:val="6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1942">
          <w:marLeft w:val="60"/>
          <w:marRight w:val="60"/>
          <w:marTop w:val="12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tf.org/standards/wsman" TargetMode="External"/><Relationship Id="rId13" Type="http://schemas.openxmlformats.org/officeDocument/2006/relationships/hyperlink" Target="http://pl.wikipedia.org/wiki/Proceso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ideocardbenchmark.net/gpu_list.php" TargetMode="External"/><Relationship Id="rId12" Type="http://schemas.openxmlformats.org/officeDocument/2006/relationships/hyperlink" Target="http://pl.wikipedia.org/wiki/Taktowani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assmark.com/products/pt.htm" TargetMode="External"/><Relationship Id="rId11" Type="http://schemas.openxmlformats.org/officeDocument/2006/relationships/hyperlink" Target="http://pl.wikipedia.org/wiki/Napi%C4%99cie_elektryczn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l.wikipedia.org/wiki/Mno%C5%BCnik_%28procesor_CPU%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mtf.org/standards/mgmt/dash/" TargetMode="External"/><Relationship Id="rId14" Type="http://schemas.openxmlformats.org/officeDocument/2006/relationships/hyperlink" Target="http://pl.wikipedia.org/wiki/Komput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3075</Words>
  <Characters>18455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Hodowli i Aklimatyzacji Roślin</Company>
  <LinksUpToDate>false</LinksUpToDate>
  <CharactersWithSpaces>21488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Osiński</dc:creator>
  <cp:lastModifiedBy>Krystyna Żurek</cp:lastModifiedBy>
  <cp:revision>5</cp:revision>
  <dcterms:created xsi:type="dcterms:W3CDTF">2015-10-15T07:26:00Z</dcterms:created>
  <dcterms:modified xsi:type="dcterms:W3CDTF">2015-11-06T13:45:00Z</dcterms:modified>
</cp:coreProperties>
</file>