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E55F09" w14:textId="36731E9C" w:rsidR="00EE6AEF" w:rsidRPr="001463A4" w:rsidRDefault="001463A4" w:rsidP="003F1214">
      <w:pPr>
        <w:spacing w:after="0"/>
        <w:jc w:val="both"/>
        <w:rPr>
          <w:rFonts w:ascii="Times New Roman" w:hAnsi="Times New Roman" w:cs="Times New Roman"/>
          <w:b/>
          <w:smallCaps/>
        </w:rPr>
      </w:pPr>
      <w:r>
        <w:rPr>
          <w:b/>
          <w:smallCaps/>
          <w:sz w:val="28"/>
          <w:szCs w:val="28"/>
        </w:rPr>
        <w:tab/>
      </w:r>
      <w:r>
        <w:rPr>
          <w:b/>
          <w:smallCaps/>
          <w:sz w:val="28"/>
          <w:szCs w:val="28"/>
        </w:rPr>
        <w:tab/>
      </w:r>
      <w:r>
        <w:rPr>
          <w:b/>
          <w:smallCaps/>
          <w:sz w:val="28"/>
          <w:szCs w:val="28"/>
        </w:rPr>
        <w:tab/>
      </w:r>
      <w:r>
        <w:rPr>
          <w:b/>
          <w:smallCaps/>
          <w:sz w:val="28"/>
          <w:szCs w:val="28"/>
        </w:rPr>
        <w:tab/>
      </w:r>
      <w:r>
        <w:rPr>
          <w:b/>
          <w:smallCaps/>
          <w:sz w:val="28"/>
          <w:szCs w:val="28"/>
        </w:rPr>
        <w:tab/>
      </w:r>
      <w:r>
        <w:rPr>
          <w:b/>
          <w:smallCaps/>
          <w:sz w:val="28"/>
          <w:szCs w:val="28"/>
        </w:rPr>
        <w:tab/>
      </w:r>
      <w:r>
        <w:rPr>
          <w:b/>
          <w:smallCaps/>
          <w:sz w:val="28"/>
          <w:szCs w:val="28"/>
        </w:rPr>
        <w:tab/>
      </w:r>
      <w:r>
        <w:rPr>
          <w:b/>
          <w:smallCaps/>
          <w:sz w:val="28"/>
          <w:szCs w:val="28"/>
        </w:rPr>
        <w:tab/>
      </w:r>
      <w:r w:rsidRPr="001463A4">
        <w:rPr>
          <w:rFonts w:ascii="Times New Roman" w:hAnsi="Times New Roman" w:cs="Times New Roman"/>
          <w:b/>
          <w:smallCaps/>
        </w:rPr>
        <w:t>Załącznik nr 2/1 do SIWZ</w:t>
      </w:r>
    </w:p>
    <w:p w14:paraId="796A1E8F" w14:textId="5F3D8967" w:rsidR="001463A4" w:rsidRPr="001463A4" w:rsidRDefault="00673AE4" w:rsidP="003F1214">
      <w:pPr>
        <w:spacing w:after="0"/>
        <w:jc w:val="both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ab/>
      </w:r>
      <w:r>
        <w:rPr>
          <w:rFonts w:ascii="Times New Roman" w:hAnsi="Times New Roman" w:cs="Times New Roman"/>
          <w:b/>
          <w:smallCaps/>
        </w:rPr>
        <w:tab/>
      </w:r>
      <w:r>
        <w:rPr>
          <w:rFonts w:ascii="Times New Roman" w:hAnsi="Times New Roman" w:cs="Times New Roman"/>
          <w:b/>
          <w:smallCaps/>
        </w:rPr>
        <w:tab/>
      </w:r>
      <w:r>
        <w:rPr>
          <w:rFonts w:ascii="Times New Roman" w:hAnsi="Times New Roman" w:cs="Times New Roman"/>
          <w:b/>
          <w:smallCaps/>
        </w:rPr>
        <w:tab/>
      </w:r>
      <w:r>
        <w:rPr>
          <w:rFonts w:ascii="Times New Roman" w:hAnsi="Times New Roman" w:cs="Times New Roman"/>
          <w:b/>
          <w:smallCaps/>
        </w:rPr>
        <w:tab/>
      </w:r>
      <w:r>
        <w:rPr>
          <w:rFonts w:ascii="Times New Roman" w:hAnsi="Times New Roman" w:cs="Times New Roman"/>
          <w:b/>
          <w:smallCaps/>
        </w:rPr>
        <w:tab/>
      </w:r>
      <w:r>
        <w:rPr>
          <w:rFonts w:ascii="Times New Roman" w:hAnsi="Times New Roman" w:cs="Times New Roman"/>
          <w:b/>
          <w:smallCaps/>
        </w:rPr>
        <w:tab/>
      </w:r>
      <w:r>
        <w:rPr>
          <w:rFonts w:ascii="Times New Roman" w:hAnsi="Times New Roman" w:cs="Times New Roman"/>
          <w:b/>
          <w:smallCaps/>
        </w:rPr>
        <w:tab/>
        <w:t>ZP/07</w:t>
      </w:r>
      <w:r w:rsidR="001463A4" w:rsidRPr="001463A4">
        <w:rPr>
          <w:rFonts w:ascii="Times New Roman" w:hAnsi="Times New Roman" w:cs="Times New Roman"/>
          <w:b/>
          <w:smallCaps/>
        </w:rPr>
        <w:t>/N/D/2019 O.</w:t>
      </w:r>
      <w:r w:rsidR="001463A4">
        <w:rPr>
          <w:rFonts w:ascii="Times New Roman" w:hAnsi="Times New Roman" w:cs="Times New Roman"/>
          <w:b/>
          <w:smallCaps/>
        </w:rPr>
        <w:t xml:space="preserve"> </w:t>
      </w:r>
      <w:r w:rsidR="002B6FBD">
        <w:rPr>
          <w:rFonts w:ascii="Times New Roman" w:hAnsi="Times New Roman" w:cs="Times New Roman"/>
          <w:b/>
          <w:smallCaps/>
        </w:rPr>
        <w:t>Bonin</w:t>
      </w:r>
      <w:bookmarkStart w:id="0" w:name="_GoBack"/>
      <w:bookmarkEnd w:id="0"/>
    </w:p>
    <w:p w14:paraId="726BF3C9" w14:textId="77777777" w:rsidR="001463A4" w:rsidRDefault="001463A4" w:rsidP="003F1214">
      <w:pPr>
        <w:spacing w:after="0"/>
        <w:jc w:val="both"/>
        <w:rPr>
          <w:rFonts w:ascii="Times New Roman" w:hAnsi="Times New Roman" w:cs="Times New Roman"/>
          <w:smallCaps/>
        </w:rPr>
      </w:pPr>
    </w:p>
    <w:p w14:paraId="30C36C6C" w14:textId="09B2B30D" w:rsidR="00317D92" w:rsidRPr="001463A4" w:rsidRDefault="001463A4" w:rsidP="003F1214">
      <w:pPr>
        <w:spacing w:after="0"/>
        <w:jc w:val="both"/>
        <w:rPr>
          <w:rFonts w:ascii="Times New Roman" w:hAnsi="Times New Roman" w:cs="Times New Roman"/>
          <w:smallCaps/>
        </w:rPr>
      </w:pPr>
      <w:r w:rsidRPr="001463A4">
        <w:rPr>
          <w:rFonts w:ascii="Times New Roman" w:hAnsi="Times New Roman" w:cs="Times New Roman"/>
          <w:smallCaps/>
        </w:rPr>
        <w:t>PAKIET 1-</w:t>
      </w:r>
      <w:r w:rsidR="00317D92" w:rsidRPr="001463A4">
        <w:rPr>
          <w:rFonts w:ascii="Times New Roman" w:hAnsi="Times New Roman" w:cs="Times New Roman"/>
          <w:smallCaps/>
        </w:rPr>
        <w:t>system do izolacji kwasów nukleinowych z wielu prób jednocześnie wielu prób jednocześnie</w:t>
      </w:r>
    </w:p>
    <w:p w14:paraId="54232A19" w14:textId="77777777" w:rsidR="00317D92" w:rsidRPr="001463A4" w:rsidRDefault="00317D92" w:rsidP="003F1214">
      <w:pPr>
        <w:spacing w:after="0"/>
        <w:jc w:val="both"/>
        <w:rPr>
          <w:rFonts w:ascii="Times New Roman" w:hAnsi="Times New Roman" w:cs="Times New Roman"/>
        </w:rPr>
      </w:pPr>
    </w:p>
    <w:p w14:paraId="6412EA21" w14:textId="77777777" w:rsidR="003F1214" w:rsidRPr="001463A4" w:rsidRDefault="003F1214" w:rsidP="00317D9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463A4">
        <w:rPr>
          <w:rFonts w:ascii="Times New Roman" w:hAnsi="Times New Roman" w:cs="Times New Roman"/>
        </w:rPr>
        <w:t>urządzenie umożliwiające izolację i oczyszczanie DNA, RNA, białek, komórek i organelli komórkowych w oparciu o kulki magnetyczne</w:t>
      </w:r>
    </w:p>
    <w:p w14:paraId="44ACE727" w14:textId="77777777" w:rsidR="003F1214" w:rsidRPr="001463A4" w:rsidRDefault="003F1214" w:rsidP="00317D9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463A4">
        <w:rPr>
          <w:rFonts w:ascii="Times New Roman" w:hAnsi="Times New Roman" w:cs="Times New Roman"/>
        </w:rPr>
        <w:t xml:space="preserve">system otwarty – możliwość stosowania kitów izolacyjnych różnych producentów, </w:t>
      </w:r>
    </w:p>
    <w:p w14:paraId="382CA3FA" w14:textId="77777777" w:rsidR="003F1214" w:rsidRPr="001463A4" w:rsidRDefault="003F1214" w:rsidP="00317D9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463A4">
        <w:rPr>
          <w:rFonts w:ascii="Times New Roman" w:hAnsi="Times New Roman" w:cs="Times New Roman"/>
        </w:rPr>
        <w:t>elementem roboczym jest ruchoma głowica z prętami magnetycznymi w celu osiągnięcia największej skuteczności izolacji</w:t>
      </w:r>
    </w:p>
    <w:p w14:paraId="239B7B60" w14:textId="77777777" w:rsidR="003F1214" w:rsidRPr="001463A4" w:rsidRDefault="003F1214" w:rsidP="00317D9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463A4">
        <w:rPr>
          <w:rFonts w:ascii="Times New Roman" w:hAnsi="Times New Roman" w:cs="Times New Roman"/>
        </w:rPr>
        <w:t>możliwość łatwej wymiany głowicy magnetycznej bez użycia narzędzi</w:t>
      </w:r>
    </w:p>
    <w:p w14:paraId="1ED8C547" w14:textId="77777777" w:rsidR="00317D92" w:rsidRPr="001463A4" w:rsidRDefault="003F1214" w:rsidP="00317D9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463A4">
        <w:rPr>
          <w:rFonts w:ascii="Times New Roman" w:hAnsi="Times New Roman" w:cs="Times New Roman"/>
        </w:rPr>
        <w:t xml:space="preserve">wydajność </w:t>
      </w:r>
      <w:r w:rsidR="00317D92" w:rsidRPr="001463A4">
        <w:rPr>
          <w:rFonts w:ascii="Times New Roman" w:hAnsi="Times New Roman" w:cs="Times New Roman"/>
        </w:rPr>
        <w:t xml:space="preserve">nie mniej niż </w:t>
      </w:r>
      <w:r w:rsidRPr="001463A4">
        <w:rPr>
          <w:rFonts w:ascii="Times New Roman" w:hAnsi="Times New Roman" w:cs="Times New Roman"/>
        </w:rPr>
        <w:t xml:space="preserve">24 próbki w cyklu </w:t>
      </w:r>
    </w:p>
    <w:p w14:paraId="7D14FF7E" w14:textId="77777777" w:rsidR="003F1214" w:rsidRPr="001463A4" w:rsidRDefault="003F1214" w:rsidP="00317D9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463A4">
        <w:rPr>
          <w:rFonts w:ascii="Times New Roman" w:hAnsi="Times New Roman" w:cs="Times New Roman"/>
        </w:rPr>
        <w:t>pojemność robocza płynów w dołku nie mniejsza niż:</w:t>
      </w:r>
    </w:p>
    <w:p w14:paraId="299A88A6" w14:textId="77777777" w:rsidR="003F1214" w:rsidRPr="001463A4" w:rsidRDefault="003F1214" w:rsidP="00317D9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463A4">
        <w:rPr>
          <w:rFonts w:ascii="Times New Roman" w:hAnsi="Times New Roman" w:cs="Times New Roman"/>
        </w:rPr>
        <w:t xml:space="preserve">- od 50 do 1000 </w:t>
      </w:r>
      <w:proofErr w:type="spellStart"/>
      <w:r w:rsidRPr="001463A4">
        <w:rPr>
          <w:rFonts w:ascii="Times New Roman" w:hAnsi="Times New Roman" w:cs="Times New Roman"/>
        </w:rPr>
        <w:t>μl</w:t>
      </w:r>
      <w:proofErr w:type="spellEnd"/>
      <w:r w:rsidRPr="001463A4">
        <w:rPr>
          <w:rFonts w:ascii="Times New Roman" w:hAnsi="Times New Roman" w:cs="Times New Roman"/>
        </w:rPr>
        <w:t xml:space="preserve"> ( dla głowicy 12 magnesowej)</w:t>
      </w:r>
    </w:p>
    <w:p w14:paraId="28791628" w14:textId="77777777" w:rsidR="003F1214" w:rsidRPr="001463A4" w:rsidRDefault="003F1214" w:rsidP="00317D9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463A4">
        <w:rPr>
          <w:rFonts w:ascii="Times New Roman" w:hAnsi="Times New Roman" w:cs="Times New Roman"/>
        </w:rPr>
        <w:t xml:space="preserve">- od 200 do 5000 </w:t>
      </w:r>
      <w:proofErr w:type="spellStart"/>
      <w:r w:rsidRPr="001463A4">
        <w:rPr>
          <w:rFonts w:ascii="Times New Roman" w:hAnsi="Times New Roman" w:cs="Times New Roman"/>
        </w:rPr>
        <w:t>μl</w:t>
      </w:r>
      <w:proofErr w:type="spellEnd"/>
      <w:r w:rsidRPr="001463A4">
        <w:rPr>
          <w:rFonts w:ascii="Times New Roman" w:hAnsi="Times New Roman" w:cs="Times New Roman"/>
        </w:rPr>
        <w:t xml:space="preserve"> ( dla głowicy 6 magnesowej)</w:t>
      </w:r>
    </w:p>
    <w:p w14:paraId="4853CBCE" w14:textId="77777777" w:rsidR="003F1214" w:rsidRPr="001463A4" w:rsidRDefault="003F1214" w:rsidP="00317D9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463A4">
        <w:rPr>
          <w:rFonts w:ascii="Times New Roman" w:hAnsi="Times New Roman" w:cs="Times New Roman"/>
        </w:rPr>
        <w:t>pręty magnetyczne zabezpieczone przed kontaktem z próbkami za pomocą wymiennych końcówek z tworzywa sztucznego z blokadą pozycji</w:t>
      </w:r>
    </w:p>
    <w:p w14:paraId="51BE7E6B" w14:textId="77777777" w:rsidR="003F1214" w:rsidRPr="001463A4" w:rsidRDefault="003F1214" w:rsidP="00317D9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463A4">
        <w:rPr>
          <w:rFonts w:ascii="Times New Roman" w:hAnsi="Times New Roman" w:cs="Times New Roman"/>
        </w:rPr>
        <w:t>panel sterowania powinien być wyposażony w graficzny kolorowy wyświetlacz LCD informujący o nazwie protokołu, etapie wykonywanej procedury, występującym problemie</w:t>
      </w:r>
    </w:p>
    <w:p w14:paraId="1404ADE2" w14:textId="77777777" w:rsidR="003F1214" w:rsidRPr="001463A4" w:rsidRDefault="003F1214" w:rsidP="00317D9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463A4">
        <w:rPr>
          <w:rFonts w:ascii="Times New Roman" w:hAnsi="Times New Roman" w:cs="Times New Roman"/>
        </w:rPr>
        <w:t>wbudowane moduły grzejne:</w:t>
      </w:r>
    </w:p>
    <w:p w14:paraId="128F76DE" w14:textId="77777777" w:rsidR="003F1214" w:rsidRPr="001463A4" w:rsidRDefault="003F1214" w:rsidP="00317D9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463A4">
        <w:rPr>
          <w:rFonts w:ascii="Times New Roman" w:hAnsi="Times New Roman" w:cs="Times New Roman"/>
        </w:rPr>
        <w:t xml:space="preserve">- dla płytki </w:t>
      </w:r>
      <w:proofErr w:type="spellStart"/>
      <w:r w:rsidRPr="001463A4">
        <w:rPr>
          <w:rFonts w:ascii="Times New Roman" w:hAnsi="Times New Roman" w:cs="Times New Roman"/>
        </w:rPr>
        <w:t>wielodołkowej</w:t>
      </w:r>
      <w:proofErr w:type="spellEnd"/>
      <w:r w:rsidRPr="001463A4">
        <w:rPr>
          <w:rFonts w:ascii="Times New Roman" w:hAnsi="Times New Roman" w:cs="Times New Roman"/>
        </w:rPr>
        <w:t xml:space="preserve"> – zakres temperatury od 10 do 75°C</w:t>
      </w:r>
    </w:p>
    <w:p w14:paraId="24CFEC3B" w14:textId="77777777" w:rsidR="003F1214" w:rsidRPr="001463A4" w:rsidRDefault="003F1214" w:rsidP="00317D9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463A4">
        <w:rPr>
          <w:rFonts w:ascii="Times New Roman" w:hAnsi="Times New Roman" w:cs="Times New Roman"/>
        </w:rPr>
        <w:t xml:space="preserve">- dla paska </w:t>
      </w:r>
      <w:proofErr w:type="spellStart"/>
      <w:r w:rsidRPr="001463A4">
        <w:rPr>
          <w:rFonts w:ascii="Times New Roman" w:hAnsi="Times New Roman" w:cs="Times New Roman"/>
        </w:rPr>
        <w:t>elucyjnego</w:t>
      </w:r>
      <w:proofErr w:type="spellEnd"/>
      <w:r w:rsidRPr="001463A4">
        <w:rPr>
          <w:rFonts w:ascii="Times New Roman" w:hAnsi="Times New Roman" w:cs="Times New Roman"/>
        </w:rPr>
        <w:t xml:space="preserve"> (z wyizolowanym materiałem) – zakres temperatury od 4 do 75°C</w:t>
      </w:r>
    </w:p>
    <w:p w14:paraId="57A65525" w14:textId="77777777" w:rsidR="003F1214" w:rsidRPr="001463A4" w:rsidRDefault="003F1214" w:rsidP="00317D9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463A4">
        <w:rPr>
          <w:rFonts w:ascii="Times New Roman" w:hAnsi="Times New Roman" w:cs="Times New Roman"/>
        </w:rPr>
        <w:t>możliwość wyboru i uruchomienia protokołu z poziomu urządzenia za pomocą klawiszy membranowych</w:t>
      </w:r>
    </w:p>
    <w:p w14:paraId="231D51BF" w14:textId="77777777" w:rsidR="003F1214" w:rsidRPr="001463A4" w:rsidRDefault="003F1214" w:rsidP="00317D9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463A4">
        <w:rPr>
          <w:rFonts w:ascii="Times New Roman" w:hAnsi="Times New Roman" w:cs="Times New Roman"/>
        </w:rPr>
        <w:t>możliwość wgrywania protokołów bezpośrednio z poziomu komputera lub z podłączonego nośnika typu pendrive</w:t>
      </w:r>
    </w:p>
    <w:p w14:paraId="36D5D60B" w14:textId="77777777" w:rsidR="003F1214" w:rsidRPr="001463A4" w:rsidRDefault="003F1214" w:rsidP="00317D9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463A4">
        <w:rPr>
          <w:rFonts w:ascii="Times New Roman" w:hAnsi="Times New Roman" w:cs="Times New Roman"/>
        </w:rPr>
        <w:t>urządzenie powinno zapewniać możliwość pracy bez podłączonego komputera lub innego urządzenie zewnętrznego</w:t>
      </w:r>
    </w:p>
    <w:p w14:paraId="44812CAD" w14:textId="77777777" w:rsidR="003F1214" w:rsidRPr="001463A4" w:rsidRDefault="003F1214" w:rsidP="00317D9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463A4">
        <w:rPr>
          <w:rFonts w:ascii="Times New Roman" w:hAnsi="Times New Roman" w:cs="Times New Roman"/>
        </w:rPr>
        <w:t>system diagnostyczny z identyfikacją błędu</w:t>
      </w:r>
    </w:p>
    <w:p w14:paraId="2A9BCA08" w14:textId="77777777" w:rsidR="003F1214" w:rsidRPr="001463A4" w:rsidRDefault="003F1214" w:rsidP="00317D9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463A4">
        <w:rPr>
          <w:rFonts w:ascii="Times New Roman" w:hAnsi="Times New Roman" w:cs="Times New Roman"/>
        </w:rPr>
        <w:t>panel sterowania odporny na zalanie płynami</w:t>
      </w:r>
    </w:p>
    <w:p w14:paraId="35A25EF0" w14:textId="77777777" w:rsidR="003F1214" w:rsidRPr="001463A4" w:rsidRDefault="003F1214" w:rsidP="00317D9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463A4">
        <w:rPr>
          <w:rFonts w:ascii="Times New Roman" w:hAnsi="Times New Roman" w:cs="Times New Roman"/>
        </w:rPr>
        <w:t>pamięć wewnętrzna na co najmniej 200 protokołów</w:t>
      </w:r>
    </w:p>
    <w:p w14:paraId="3120E259" w14:textId="77777777" w:rsidR="003F1214" w:rsidRPr="001463A4" w:rsidRDefault="003F1214" w:rsidP="00317D9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463A4">
        <w:rPr>
          <w:rFonts w:ascii="Times New Roman" w:hAnsi="Times New Roman" w:cs="Times New Roman"/>
        </w:rPr>
        <w:t xml:space="preserve">konstrukcja urządzenia umożliwiająca łatwy dostęp do komory roboczej od przodu </w:t>
      </w:r>
    </w:p>
    <w:p w14:paraId="55983CE8" w14:textId="77777777" w:rsidR="003F1214" w:rsidRPr="001463A4" w:rsidRDefault="003F1214" w:rsidP="00317D9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463A4">
        <w:rPr>
          <w:rFonts w:ascii="Times New Roman" w:hAnsi="Times New Roman" w:cs="Times New Roman"/>
        </w:rPr>
        <w:t>Gabaryty zewnętrzne nie większe niż (szer. x głęb. x wys.) 400 x 460 x 350 mm</w:t>
      </w:r>
    </w:p>
    <w:p w14:paraId="4C65828C" w14:textId="77777777" w:rsidR="003F1214" w:rsidRPr="001463A4" w:rsidRDefault="003F1214" w:rsidP="00317D9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463A4">
        <w:rPr>
          <w:rFonts w:ascii="Times New Roman" w:hAnsi="Times New Roman" w:cs="Times New Roman"/>
        </w:rPr>
        <w:t>urządzenie wyposażone w łącza komunikacyjne USB</w:t>
      </w:r>
    </w:p>
    <w:p w14:paraId="6D4E0EC5" w14:textId="77777777" w:rsidR="003F1214" w:rsidRPr="001463A4" w:rsidRDefault="003F1214" w:rsidP="00317D9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463A4">
        <w:rPr>
          <w:rFonts w:ascii="Times New Roman" w:hAnsi="Times New Roman" w:cs="Times New Roman"/>
        </w:rPr>
        <w:t>urządzenie musi posiadać wbudować lampę UV z możliwością programowania czasu pracy oraz licznikiem całkowitego czasu pracy</w:t>
      </w:r>
    </w:p>
    <w:p w14:paraId="66999A91" w14:textId="77777777" w:rsidR="003F1214" w:rsidRPr="001463A4" w:rsidRDefault="003F1214" w:rsidP="00317D9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463A4">
        <w:rPr>
          <w:rFonts w:ascii="Times New Roman" w:hAnsi="Times New Roman" w:cs="Times New Roman"/>
        </w:rPr>
        <w:t>Waga nie większa niż 17 kg</w:t>
      </w:r>
    </w:p>
    <w:p w14:paraId="2DCBA862" w14:textId="77777777" w:rsidR="003F1214" w:rsidRPr="001463A4" w:rsidRDefault="003F1214" w:rsidP="00317D9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463A4">
        <w:rPr>
          <w:rFonts w:ascii="Times New Roman" w:hAnsi="Times New Roman" w:cs="Times New Roman"/>
        </w:rPr>
        <w:t>Urządzenie powinno być dostarczone z dedykowanym oprogramowaniem komputerowym umożliwiający m.in. tworzenie nowych protokołów izolacji w własnych aplikacji użytkownika, importowanie oraz eksportowanie protokołów z urządzenia, sterowanie urządzeniem podczas izolacji</w:t>
      </w:r>
    </w:p>
    <w:p w14:paraId="79078D2B" w14:textId="77777777" w:rsidR="003F1214" w:rsidRPr="001463A4" w:rsidRDefault="003F1214" w:rsidP="00317D9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463A4">
        <w:rPr>
          <w:rFonts w:ascii="Times New Roman" w:hAnsi="Times New Roman" w:cs="Times New Roman"/>
        </w:rPr>
        <w:lastRenderedPageBreak/>
        <w:t>dostępność na stronie producenta urządzania gotowych protokołów różnych wytwórców odczynników, możliwych do eksportowania do pamięci procesora magnetycznego poprzez oprogramowanie komputerowe</w:t>
      </w:r>
    </w:p>
    <w:p w14:paraId="31BF9518" w14:textId="77777777" w:rsidR="003F1214" w:rsidRPr="001463A4" w:rsidRDefault="003F1214" w:rsidP="00317D9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463A4">
        <w:rPr>
          <w:rFonts w:ascii="Times New Roman" w:hAnsi="Times New Roman" w:cs="Times New Roman"/>
        </w:rPr>
        <w:t>oprogramowanie zapewniające możliwość używania urządzania przez wielu użytkowników, gwarantujące różne poziomu dostępu do opcji programu</w:t>
      </w:r>
    </w:p>
    <w:p w14:paraId="1DC797E8" w14:textId="77777777" w:rsidR="003F1214" w:rsidRPr="001463A4" w:rsidRDefault="003F1214" w:rsidP="00317D9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463A4">
        <w:rPr>
          <w:rFonts w:ascii="Times New Roman" w:hAnsi="Times New Roman" w:cs="Times New Roman"/>
        </w:rPr>
        <w:t>oprogramowanie bez ograniczeń ilości użytkowników</w:t>
      </w:r>
    </w:p>
    <w:p w14:paraId="0D1B5F20" w14:textId="77777777" w:rsidR="003F1214" w:rsidRPr="001463A4" w:rsidRDefault="003F1214" w:rsidP="00317D9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463A4">
        <w:rPr>
          <w:rFonts w:ascii="Times New Roman" w:hAnsi="Times New Roman" w:cs="Times New Roman"/>
        </w:rPr>
        <w:t>urządzenie do izolacji musi bezpośrednio współpracować z czytnikiem kodów kreskowych</w:t>
      </w:r>
    </w:p>
    <w:p w14:paraId="6E1CF8CF" w14:textId="77777777" w:rsidR="003F1214" w:rsidRPr="001463A4" w:rsidRDefault="003F1214" w:rsidP="00317D9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463A4">
        <w:rPr>
          <w:rFonts w:ascii="Times New Roman" w:hAnsi="Times New Roman" w:cs="Times New Roman"/>
          <w:lang w:val="af-ZA"/>
        </w:rPr>
        <w:t>startowy zestaw odczynników do izolacji magnetycznej wirusowego RNA i DNA oraz bakteryjnego DNA (zestaw powinien wystarczyć na wykonanie co najmniej 384 izolacji - możliwość izolacji z różnego materiału wyjściowego, odzwierzęcego: tkanka, surowica, krew, wymazy (informacja musi być zawarta w dołączonej instrukcji)</w:t>
      </w:r>
    </w:p>
    <w:p w14:paraId="68820127" w14:textId="77777777" w:rsidR="00E7280F" w:rsidRPr="001463A4" w:rsidRDefault="003F1214" w:rsidP="00317D9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463A4">
        <w:rPr>
          <w:rFonts w:ascii="Times New Roman" w:hAnsi="Times New Roman" w:cs="Times New Roman"/>
        </w:rPr>
        <w:t>dokument potwierdzający autoryzację dystrybucji na terenie kraju</w:t>
      </w:r>
    </w:p>
    <w:sectPr w:rsidR="00E7280F" w:rsidRPr="001463A4" w:rsidSect="003F12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77A94E" w14:textId="77777777" w:rsidR="007417B5" w:rsidRDefault="007417B5" w:rsidP="00EE6AEF">
      <w:pPr>
        <w:spacing w:after="0" w:line="240" w:lineRule="auto"/>
      </w:pPr>
      <w:r>
        <w:separator/>
      </w:r>
    </w:p>
  </w:endnote>
  <w:endnote w:type="continuationSeparator" w:id="0">
    <w:p w14:paraId="7BF6313E" w14:textId="77777777" w:rsidR="007417B5" w:rsidRDefault="007417B5" w:rsidP="00EE6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43C92F" w14:textId="77777777" w:rsidR="00EE6AEF" w:rsidRDefault="00EE6AE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49B763" w14:textId="77777777" w:rsidR="00EE6AEF" w:rsidRDefault="00EE6AE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80896" w14:textId="77777777" w:rsidR="00EE6AEF" w:rsidRDefault="00EE6A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65DD67" w14:textId="77777777" w:rsidR="007417B5" w:rsidRDefault="007417B5" w:rsidP="00EE6AEF">
      <w:pPr>
        <w:spacing w:after="0" w:line="240" w:lineRule="auto"/>
      </w:pPr>
      <w:r>
        <w:separator/>
      </w:r>
    </w:p>
  </w:footnote>
  <w:footnote w:type="continuationSeparator" w:id="0">
    <w:p w14:paraId="64962850" w14:textId="77777777" w:rsidR="007417B5" w:rsidRDefault="007417B5" w:rsidP="00EE6A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29318E" w14:textId="77777777" w:rsidR="00EE6AEF" w:rsidRDefault="00EE6AE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32" w:type="dxa"/>
      <w:tblInd w:w="-743" w:type="dxa"/>
      <w:tblLayout w:type="fixed"/>
      <w:tblLook w:val="04A0" w:firstRow="1" w:lastRow="0" w:firstColumn="1" w:lastColumn="0" w:noHBand="0" w:noVBand="1"/>
    </w:tblPr>
    <w:tblGrid>
      <w:gridCol w:w="3686"/>
      <w:gridCol w:w="6379"/>
      <w:gridCol w:w="567"/>
    </w:tblGrid>
    <w:tr w:rsidR="00EE6AEF" w:rsidRPr="008028D5" w14:paraId="0B93D566" w14:textId="77777777" w:rsidTr="004C2D82">
      <w:trPr>
        <w:trHeight w:val="1418"/>
      </w:trPr>
      <w:tc>
        <w:tcPr>
          <w:tcW w:w="3686" w:type="dxa"/>
          <w:shd w:val="clear" w:color="auto" w:fill="auto"/>
          <w:vAlign w:val="center"/>
        </w:tcPr>
        <w:p w14:paraId="53AE6757" w14:textId="77777777" w:rsidR="00EE6AEF" w:rsidRPr="00CE69D9" w:rsidRDefault="00EE6AEF" w:rsidP="00EE6AEF">
          <w:pPr>
            <w:jc w:val="right"/>
            <w:rPr>
              <w:rFonts w:ascii="Bookman Old Style" w:hAnsi="Bookman Old Style"/>
              <w:color w:val="00B050"/>
              <w:sz w:val="16"/>
              <w:szCs w:val="16"/>
            </w:rPr>
          </w:pPr>
          <w:r>
            <w:rPr>
              <w:noProof/>
              <w:lang w:eastAsia="pl-PL"/>
            </w:rPr>
            <w:drawing>
              <wp:inline distT="0" distB="0" distL="0" distR="0" wp14:anchorId="416E5AC2" wp14:editId="419CA0DD">
                <wp:extent cx="1809750" cy="1019175"/>
                <wp:effectExtent l="0" t="0" r="0" b="9525"/>
                <wp:docPr id="1" name="Obraz 1" descr="FITOEXPORT (2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ITOEXPORT (2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9750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tcBorders>
            <w:right w:val="single" w:sz="4" w:space="0" w:color="FFFFFF"/>
          </w:tcBorders>
          <w:shd w:val="clear" w:color="auto" w:fill="auto"/>
          <w:vAlign w:val="center"/>
        </w:tcPr>
        <w:p w14:paraId="64BF5064" w14:textId="77777777" w:rsidR="00EE6AEF" w:rsidRDefault="00EE6AEF" w:rsidP="00EE6AEF">
          <w:pPr>
            <w:jc w:val="right"/>
            <w:rPr>
              <w:rFonts w:ascii="Bookman Old Style" w:hAnsi="Bookman Old Style"/>
              <w:b/>
              <w:color w:val="00B050"/>
              <w:sz w:val="16"/>
              <w:szCs w:val="16"/>
            </w:rPr>
          </w:pPr>
        </w:p>
        <w:p w14:paraId="1A7BF9BA" w14:textId="77777777" w:rsidR="00EE6AEF" w:rsidRPr="00EB432E" w:rsidRDefault="00EE6AEF" w:rsidP="00EE6AEF">
          <w:pPr>
            <w:jc w:val="right"/>
            <w:rPr>
              <w:rFonts w:ascii="Bookman Old Style" w:hAnsi="Bookman Old Style"/>
              <w:b/>
              <w:color w:val="00B050"/>
              <w:sz w:val="16"/>
              <w:szCs w:val="16"/>
            </w:rPr>
          </w:pPr>
          <w:r w:rsidRPr="00EB432E">
            <w:rPr>
              <w:rFonts w:ascii="Bookman Old Style" w:hAnsi="Bookman Old Style"/>
              <w:b/>
              <w:color w:val="00B050"/>
              <w:sz w:val="16"/>
              <w:szCs w:val="16"/>
            </w:rPr>
            <w:t>Projekt: „Zwiększenie konkurencyjności polskich towarów roślinnych na rynkach międzynarodowych poprzez podniesienie ich jakości i bezpieczeństwa fitosanitarnego”</w:t>
          </w:r>
        </w:p>
        <w:p w14:paraId="21280F8B" w14:textId="77777777" w:rsidR="00EE6AEF" w:rsidRDefault="00EE6AEF" w:rsidP="00EE6AEF">
          <w:pPr>
            <w:pStyle w:val="Stopka"/>
            <w:jc w:val="right"/>
            <w:rPr>
              <w:rFonts w:ascii="Bookman Old Style" w:hAnsi="Bookman Old Style"/>
              <w:sz w:val="16"/>
              <w:szCs w:val="16"/>
            </w:rPr>
          </w:pPr>
        </w:p>
        <w:p w14:paraId="18E8F91A" w14:textId="77777777" w:rsidR="00EE6AEF" w:rsidRPr="008028D5" w:rsidRDefault="00EE6AEF" w:rsidP="00EE6AEF">
          <w:pPr>
            <w:pStyle w:val="Stopka"/>
            <w:jc w:val="right"/>
            <w:rPr>
              <w:rFonts w:ascii="Bookman Old Style" w:hAnsi="Bookman Old Style"/>
              <w:b/>
              <w:color w:val="00B050"/>
              <w:sz w:val="18"/>
              <w:szCs w:val="18"/>
            </w:rPr>
          </w:pPr>
          <w:r w:rsidRPr="00EB432E">
            <w:rPr>
              <w:rFonts w:ascii="Bookman Old Style" w:hAnsi="Bookman Old Style"/>
              <w:sz w:val="16"/>
              <w:szCs w:val="16"/>
            </w:rPr>
            <w:t xml:space="preserve">Nr Umowy o wykonanie i finansowanie Projektu: </w:t>
          </w:r>
          <w:r w:rsidRPr="00EB432E">
            <w:rPr>
              <w:rFonts w:ascii="Bookman Old Style" w:hAnsi="Bookman Old Style"/>
              <w:b/>
              <w:sz w:val="16"/>
              <w:szCs w:val="16"/>
            </w:rPr>
            <w:t>Gospostrateg1/385957/5/NCBR/2018</w:t>
          </w:r>
        </w:p>
      </w:tc>
      <w:tc>
        <w:tcPr>
          <w:tcW w:w="567" w:type="dxa"/>
          <w:tcBorders>
            <w:left w:val="single" w:sz="4" w:space="0" w:color="FFFFFF"/>
          </w:tcBorders>
          <w:shd w:val="clear" w:color="auto" w:fill="auto"/>
          <w:vAlign w:val="center"/>
        </w:tcPr>
        <w:p w14:paraId="3CA9175D" w14:textId="77777777" w:rsidR="00EE6AEF" w:rsidRDefault="00EE6AEF" w:rsidP="00EE6AEF">
          <w:pPr>
            <w:jc w:val="right"/>
            <w:rPr>
              <w:rFonts w:ascii="Bookman Old Style" w:hAnsi="Bookman Old Style"/>
              <w:b/>
              <w:color w:val="00B050"/>
              <w:sz w:val="16"/>
              <w:szCs w:val="16"/>
            </w:rPr>
          </w:pPr>
        </w:p>
        <w:p w14:paraId="3DF2181D" w14:textId="77777777" w:rsidR="00EE6AEF" w:rsidRPr="008028D5" w:rsidRDefault="00EE6AEF" w:rsidP="00EE6AEF">
          <w:pPr>
            <w:pStyle w:val="Stopka"/>
            <w:jc w:val="right"/>
            <w:rPr>
              <w:rFonts w:ascii="Bookman Old Style" w:hAnsi="Bookman Old Style"/>
              <w:b/>
              <w:color w:val="00B050"/>
              <w:sz w:val="18"/>
              <w:szCs w:val="18"/>
            </w:rPr>
          </w:pPr>
        </w:p>
      </w:tc>
    </w:tr>
  </w:tbl>
  <w:p w14:paraId="62789C1F" w14:textId="77777777" w:rsidR="00EE6AEF" w:rsidRDefault="00EE6AE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B16B8" w14:textId="77777777" w:rsidR="00EE6AEF" w:rsidRDefault="00EE6AE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83236"/>
    <w:multiLevelType w:val="hybridMultilevel"/>
    <w:tmpl w:val="E3D04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214"/>
    <w:rsid w:val="001463A4"/>
    <w:rsid w:val="002A2273"/>
    <w:rsid w:val="002B6FBD"/>
    <w:rsid w:val="00317564"/>
    <w:rsid w:val="00317D92"/>
    <w:rsid w:val="0038524B"/>
    <w:rsid w:val="00386C9D"/>
    <w:rsid w:val="003F1214"/>
    <w:rsid w:val="004D4AA9"/>
    <w:rsid w:val="00673AE4"/>
    <w:rsid w:val="007417B5"/>
    <w:rsid w:val="007C0EF7"/>
    <w:rsid w:val="00CB462D"/>
    <w:rsid w:val="00CF19C9"/>
    <w:rsid w:val="00D00DF1"/>
    <w:rsid w:val="00E7280F"/>
    <w:rsid w:val="00EE6AEF"/>
    <w:rsid w:val="00FC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F7C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7D9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E6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6AEF"/>
  </w:style>
  <w:style w:type="paragraph" w:styleId="Stopka">
    <w:name w:val="footer"/>
    <w:basedOn w:val="Normalny"/>
    <w:link w:val="StopkaZnak"/>
    <w:uiPriority w:val="99"/>
    <w:unhideWhenUsed/>
    <w:rsid w:val="00EE6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6AEF"/>
  </w:style>
  <w:style w:type="paragraph" w:styleId="Tekstdymka">
    <w:name w:val="Balloon Text"/>
    <w:basedOn w:val="Normalny"/>
    <w:link w:val="TekstdymkaZnak"/>
    <w:uiPriority w:val="99"/>
    <w:semiHidden/>
    <w:unhideWhenUsed/>
    <w:rsid w:val="00EE6A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6A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7D9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E6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6AEF"/>
  </w:style>
  <w:style w:type="paragraph" w:styleId="Stopka">
    <w:name w:val="footer"/>
    <w:basedOn w:val="Normalny"/>
    <w:link w:val="StopkaZnak"/>
    <w:uiPriority w:val="99"/>
    <w:unhideWhenUsed/>
    <w:rsid w:val="00EE6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6AEF"/>
  </w:style>
  <w:style w:type="paragraph" w:styleId="Tekstdymka">
    <w:name w:val="Balloon Text"/>
    <w:basedOn w:val="Normalny"/>
    <w:link w:val="TekstdymkaZnak"/>
    <w:uiPriority w:val="99"/>
    <w:semiHidden/>
    <w:unhideWhenUsed/>
    <w:rsid w:val="00EE6A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6A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445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Cassia</dc:creator>
  <cp:lastModifiedBy>Krystyna Żurek</cp:lastModifiedBy>
  <cp:revision>9</cp:revision>
  <dcterms:created xsi:type="dcterms:W3CDTF">2019-08-27T09:28:00Z</dcterms:created>
  <dcterms:modified xsi:type="dcterms:W3CDTF">2019-08-27T13:43:00Z</dcterms:modified>
</cp:coreProperties>
</file>