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A09" w:rsidRDefault="00477A09" w:rsidP="00E22BA8">
      <w:pPr>
        <w:spacing w:line="276" w:lineRule="auto"/>
      </w:pPr>
    </w:p>
    <w:p w:rsidR="00477A09" w:rsidRPr="00506AA5" w:rsidRDefault="00477A09" w:rsidP="00E22BA8">
      <w:pPr>
        <w:spacing w:line="276" w:lineRule="auto"/>
      </w:pPr>
    </w:p>
    <w:p w:rsidR="00477A09" w:rsidRPr="00B52D0F" w:rsidRDefault="00477A09" w:rsidP="003F58D5">
      <w:pPr>
        <w:pStyle w:val="HTML-wstpniesformatowany"/>
        <w:shd w:val="clear" w:color="auto" w:fill="FFFFFF"/>
        <w:spacing w:line="276" w:lineRule="auto"/>
        <w:rPr>
          <w:rFonts w:ascii="Times New Roman" w:hAnsi="Times New Roman" w:cs="Times New Roman"/>
          <w:b/>
          <w:color w:val="000000"/>
          <w:sz w:val="24"/>
          <w:szCs w:val="24"/>
        </w:rPr>
      </w:pPr>
      <w:r w:rsidRPr="00B52D0F">
        <w:rPr>
          <w:rFonts w:ascii="Times New Roman" w:hAnsi="Times New Roman" w:cs="Times New Roman"/>
          <w:b/>
          <w:color w:val="000000"/>
          <w:sz w:val="24"/>
          <w:szCs w:val="24"/>
        </w:rPr>
        <w:t>Tytuł zadania</w:t>
      </w:r>
    </w:p>
    <w:p w:rsidR="00477A09" w:rsidRPr="00B52D0F" w:rsidRDefault="00477A09" w:rsidP="00E22BA8">
      <w:pPr>
        <w:pStyle w:val="HTML-wstpniesformatowany"/>
        <w:shd w:val="clear" w:color="auto" w:fill="FFFFFF"/>
        <w:spacing w:line="276" w:lineRule="auto"/>
        <w:jc w:val="both"/>
        <w:rPr>
          <w:rFonts w:ascii="Times New Roman" w:hAnsi="Times New Roman" w:cs="Times New Roman"/>
          <w:bCs/>
          <w:sz w:val="24"/>
          <w:szCs w:val="24"/>
        </w:rPr>
      </w:pPr>
      <w:r w:rsidRPr="00B52D0F">
        <w:rPr>
          <w:rFonts w:ascii="Times New Roman" w:hAnsi="Times New Roman" w:cs="Times New Roman"/>
          <w:bCs/>
          <w:sz w:val="24"/>
          <w:szCs w:val="24"/>
        </w:rPr>
        <w:t xml:space="preserve">Wyróżnianie form ziemniaka o złożonej odporności na mątwiki atakujące ziemniak przy wykorzystaniu metod konwencjonalnych i molekularnych. Charakterystyka nowego źródła odporności na </w:t>
      </w:r>
      <w:r w:rsidRPr="00B52D0F">
        <w:rPr>
          <w:rFonts w:ascii="Times New Roman" w:hAnsi="Times New Roman" w:cs="Times New Roman"/>
          <w:bCs/>
          <w:i/>
          <w:iCs/>
          <w:sz w:val="24"/>
          <w:szCs w:val="24"/>
        </w:rPr>
        <w:t>Globodera pallida</w:t>
      </w:r>
      <w:r w:rsidRPr="00B52D0F">
        <w:rPr>
          <w:rFonts w:ascii="Times New Roman" w:hAnsi="Times New Roman" w:cs="Times New Roman"/>
          <w:bCs/>
          <w:sz w:val="24"/>
          <w:szCs w:val="24"/>
        </w:rPr>
        <w:t xml:space="preserve"> znalezionego w </w:t>
      </w:r>
      <w:r w:rsidRPr="00B52D0F">
        <w:rPr>
          <w:rFonts w:ascii="Times New Roman" w:hAnsi="Times New Roman" w:cs="Times New Roman"/>
          <w:bCs/>
          <w:i/>
          <w:sz w:val="24"/>
          <w:szCs w:val="24"/>
        </w:rPr>
        <w:t>Solanum gourlayi.</w:t>
      </w:r>
    </w:p>
    <w:p w:rsidR="00477A09" w:rsidRPr="003F58D5" w:rsidRDefault="00477A09" w:rsidP="00E22BA8">
      <w:pPr>
        <w:pStyle w:val="HTML-wstpniesformatowany"/>
        <w:shd w:val="clear" w:color="auto" w:fill="FFFFFF"/>
        <w:spacing w:line="276" w:lineRule="auto"/>
        <w:jc w:val="both"/>
        <w:rPr>
          <w:rFonts w:ascii="Times New Roman" w:hAnsi="Times New Roman" w:cs="Times New Roman"/>
          <w:b/>
          <w:color w:val="000000"/>
          <w:sz w:val="16"/>
          <w:szCs w:val="16"/>
        </w:rPr>
      </w:pPr>
    </w:p>
    <w:p w:rsidR="00477A09" w:rsidRPr="00B52D0F" w:rsidRDefault="00477A09" w:rsidP="003F58D5">
      <w:pPr>
        <w:pStyle w:val="HTML-wstpniesformatowany"/>
        <w:shd w:val="clear" w:color="auto" w:fill="FFFFFF"/>
        <w:spacing w:line="276" w:lineRule="auto"/>
        <w:rPr>
          <w:rFonts w:ascii="Times New Roman" w:hAnsi="Times New Roman" w:cs="Times New Roman"/>
          <w:b/>
          <w:color w:val="000000"/>
          <w:sz w:val="24"/>
          <w:szCs w:val="24"/>
        </w:rPr>
      </w:pPr>
      <w:r w:rsidRPr="00B52D0F">
        <w:rPr>
          <w:rFonts w:ascii="Times New Roman" w:hAnsi="Times New Roman" w:cs="Times New Roman"/>
          <w:b/>
          <w:color w:val="000000"/>
          <w:sz w:val="24"/>
          <w:szCs w:val="24"/>
        </w:rPr>
        <w:t>Kierownik zadania</w:t>
      </w:r>
    </w:p>
    <w:p w:rsidR="00477A09" w:rsidRPr="00B52D0F" w:rsidRDefault="00477A09" w:rsidP="003F58D5">
      <w:pPr>
        <w:pStyle w:val="HTML-wstpniesformatowany"/>
        <w:shd w:val="clear" w:color="auto" w:fill="FFFFFF"/>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dr</w:t>
      </w:r>
      <w:r w:rsidRPr="00B52D0F">
        <w:rPr>
          <w:rFonts w:ascii="Times New Roman" w:hAnsi="Times New Roman" w:cs="Times New Roman"/>
          <w:color w:val="000000"/>
          <w:sz w:val="24"/>
          <w:szCs w:val="24"/>
        </w:rPr>
        <w:t xml:space="preserve"> Dorota Milczarek</w:t>
      </w:r>
    </w:p>
    <w:p w:rsidR="00477A09" w:rsidRPr="003F58D5" w:rsidRDefault="00477A09" w:rsidP="00E22BA8">
      <w:pPr>
        <w:pStyle w:val="HTML-wstpniesformatowany"/>
        <w:shd w:val="clear" w:color="auto" w:fill="FFFFFF"/>
        <w:spacing w:line="276" w:lineRule="auto"/>
        <w:rPr>
          <w:rFonts w:ascii="Times New Roman" w:hAnsi="Times New Roman" w:cs="Times New Roman"/>
          <w:color w:val="000000"/>
          <w:sz w:val="16"/>
          <w:szCs w:val="16"/>
        </w:rPr>
      </w:pPr>
    </w:p>
    <w:p w:rsidR="00477A09" w:rsidRPr="006067DD" w:rsidRDefault="00477A09" w:rsidP="003F58D5">
      <w:pPr>
        <w:pStyle w:val="HTML-wstpniesformatowany"/>
        <w:shd w:val="clear" w:color="auto" w:fill="FFFFFF"/>
        <w:spacing w:line="276" w:lineRule="auto"/>
        <w:rPr>
          <w:rFonts w:ascii="Times New Roman" w:hAnsi="Times New Roman" w:cs="Times New Roman"/>
          <w:b/>
          <w:color w:val="000000"/>
          <w:sz w:val="24"/>
          <w:szCs w:val="24"/>
        </w:rPr>
      </w:pPr>
      <w:r w:rsidRPr="006067DD">
        <w:rPr>
          <w:rFonts w:ascii="Times New Roman" w:hAnsi="Times New Roman" w:cs="Times New Roman"/>
          <w:b/>
          <w:color w:val="000000"/>
          <w:sz w:val="24"/>
          <w:szCs w:val="24"/>
        </w:rPr>
        <w:t>Cel zadania</w:t>
      </w:r>
    </w:p>
    <w:p w:rsidR="00477A09" w:rsidRPr="000E018A" w:rsidRDefault="00477A09" w:rsidP="00E22BA8">
      <w:pPr>
        <w:tabs>
          <w:tab w:val="left" w:pos="426"/>
          <w:tab w:val="left" w:pos="1418"/>
        </w:tabs>
        <w:spacing w:line="276" w:lineRule="auto"/>
        <w:jc w:val="both"/>
        <w:rPr>
          <w:bCs/>
        </w:rPr>
      </w:pPr>
      <w:r w:rsidRPr="000E018A">
        <w:rPr>
          <w:bCs/>
        </w:rPr>
        <w:t xml:space="preserve">Celem zadania jest poznanie genetycznych uwarunkowań odporności na mątwiki zaobserwowanej w gatunku </w:t>
      </w:r>
      <w:r w:rsidRPr="000E018A">
        <w:rPr>
          <w:bCs/>
          <w:i/>
        </w:rPr>
        <w:t>S. gourlayi</w:t>
      </w:r>
      <w:r w:rsidRPr="000E018A">
        <w:rPr>
          <w:bCs/>
        </w:rPr>
        <w:t xml:space="preserve"> oraz wyróżnienie w obrębie ziemniaka o różnych kierunkach użytkowania form o złożonej odporności na mątwiki atakujące ziemniak (patotypy mątwika ziemniaczanego - </w:t>
      </w:r>
      <w:r w:rsidRPr="000E018A">
        <w:rPr>
          <w:bCs/>
          <w:i/>
        </w:rPr>
        <w:t>Globodera  rostochiensis</w:t>
      </w:r>
      <w:r w:rsidRPr="000E018A">
        <w:rPr>
          <w:bCs/>
          <w:iCs/>
        </w:rPr>
        <w:t xml:space="preserve"> i mątwika agresywnego </w:t>
      </w:r>
      <w:r w:rsidRPr="000E018A">
        <w:rPr>
          <w:bCs/>
          <w:iCs/>
        </w:rPr>
        <w:br/>
      </w:r>
      <w:r w:rsidRPr="000E018A">
        <w:rPr>
          <w:bCs/>
          <w:i/>
        </w:rPr>
        <w:t>- G. pallida</w:t>
      </w:r>
      <w:r w:rsidRPr="000E018A">
        <w:rPr>
          <w:bCs/>
        </w:rPr>
        <w:t>).</w:t>
      </w:r>
    </w:p>
    <w:p w:rsidR="00477A09" w:rsidRPr="000E018A" w:rsidRDefault="00477A09" w:rsidP="00E22BA8">
      <w:pPr>
        <w:tabs>
          <w:tab w:val="left" w:pos="426"/>
          <w:tab w:val="left" w:pos="1418"/>
        </w:tabs>
        <w:spacing w:line="276" w:lineRule="auto"/>
        <w:ind w:firstLine="425"/>
        <w:jc w:val="both"/>
        <w:rPr>
          <w:bCs/>
        </w:rPr>
      </w:pPr>
      <w:r w:rsidRPr="000E018A">
        <w:rPr>
          <w:bCs/>
        </w:rPr>
        <w:t>Celem tematów realizowanych w ramach zadania w 201</w:t>
      </w:r>
      <w:r>
        <w:rPr>
          <w:bCs/>
        </w:rPr>
        <w:t>9</w:t>
      </w:r>
      <w:r w:rsidRPr="000E018A">
        <w:rPr>
          <w:bCs/>
        </w:rPr>
        <w:t xml:space="preserve"> roku było: a) </w:t>
      </w:r>
      <w:r w:rsidRPr="000E018A">
        <w:rPr>
          <w:lang w:eastAsia="pl-PL"/>
        </w:rPr>
        <w:t xml:space="preserve">Przeprowadzenie </w:t>
      </w:r>
      <w:r w:rsidRPr="000E018A">
        <w:t xml:space="preserve">oceny odporności wybranych klonów tetraploidalnych </w:t>
      </w:r>
      <w:r w:rsidRPr="000E018A">
        <w:rPr>
          <w:i/>
        </w:rPr>
        <w:t xml:space="preserve"> </w:t>
      </w:r>
      <w:r w:rsidRPr="000E018A">
        <w:t xml:space="preserve">na patotypy </w:t>
      </w:r>
      <w:r w:rsidRPr="000E018A">
        <w:rPr>
          <w:i/>
        </w:rPr>
        <w:t xml:space="preserve">G. </w:t>
      </w:r>
      <w:r>
        <w:rPr>
          <w:i/>
        </w:rPr>
        <w:t>rostochiensis</w:t>
      </w:r>
      <w:r w:rsidRPr="000E018A">
        <w:rPr>
          <w:bCs/>
        </w:rPr>
        <w:t xml:space="preserve">; </w:t>
      </w:r>
      <w:r w:rsidR="00E22BA8">
        <w:rPr>
          <w:bCs/>
        </w:rPr>
        <w:br/>
      </w:r>
      <w:r w:rsidRPr="000E018A">
        <w:rPr>
          <w:bCs/>
        </w:rPr>
        <w:t>b) Przeprowadzenie d</w:t>
      </w:r>
      <w:r w:rsidRPr="000E018A">
        <w:t xml:space="preserve">oświadczenia polowego z udziałem </w:t>
      </w:r>
      <w:r>
        <w:t>wybranych klonów</w:t>
      </w:r>
      <w:r w:rsidRPr="000E018A">
        <w:t xml:space="preserve"> tetraploidalnych: ocena plonu bulw, ich morfologii oraz zawartości skrobi. </w:t>
      </w:r>
      <w:r w:rsidRPr="000E018A">
        <w:rPr>
          <w:bCs/>
          <w:lang w:eastAsia="pl-PL"/>
        </w:rPr>
        <w:t xml:space="preserve">Selekcja form </w:t>
      </w:r>
      <w:r w:rsidR="00E22BA8">
        <w:rPr>
          <w:bCs/>
          <w:lang w:eastAsia="pl-PL"/>
        </w:rPr>
        <w:br/>
      </w:r>
      <w:r w:rsidRPr="000E018A">
        <w:rPr>
          <w:bCs/>
          <w:lang w:eastAsia="pl-PL"/>
        </w:rPr>
        <w:t xml:space="preserve">o złożonej odporności na mątwiki będzie częściowo prowadzona z wykorzystaniem diagnostycznych markerów molekularnych. </w:t>
      </w:r>
      <w:r>
        <w:rPr>
          <w:bCs/>
          <w:lang w:eastAsia="pl-PL"/>
        </w:rPr>
        <w:t xml:space="preserve">Przeprowadzenie krzyżowań interploidalnych mających na </w:t>
      </w:r>
      <w:r w:rsidRPr="000E018A">
        <w:rPr>
          <w:bCs/>
          <w:lang w:eastAsia="pl-PL"/>
        </w:rPr>
        <w:t xml:space="preserve">celu wprowadzenie odporności ze źródła </w:t>
      </w:r>
      <w:r w:rsidRPr="000E018A">
        <w:rPr>
          <w:bCs/>
          <w:i/>
          <w:lang w:eastAsia="pl-PL"/>
        </w:rPr>
        <w:t>Solanum gourlayi</w:t>
      </w:r>
      <w:r w:rsidRPr="000E018A">
        <w:rPr>
          <w:bCs/>
          <w:lang w:eastAsia="pl-PL"/>
        </w:rPr>
        <w:t xml:space="preserve"> na poziom tetraploidalny; </w:t>
      </w:r>
      <w:r w:rsidRPr="000E018A">
        <w:rPr>
          <w:bCs/>
        </w:rPr>
        <w:t xml:space="preserve">c) </w:t>
      </w:r>
      <w:r w:rsidR="00C64C6C" w:rsidRPr="00653510">
        <w:rPr>
          <w:sz w:val="22"/>
          <w:szCs w:val="22"/>
        </w:rPr>
        <w:t xml:space="preserve">stworzenie mapy genetycznej i przeprowadzenie </w:t>
      </w:r>
      <w:r w:rsidR="00C64C6C" w:rsidRPr="00653510">
        <w:rPr>
          <w:sz w:val="22"/>
          <w:szCs w:val="22"/>
          <w:lang w:eastAsia="pl-PL"/>
        </w:rPr>
        <w:t>analizy QTL,</w:t>
      </w:r>
      <w:r w:rsidR="00C64C6C" w:rsidRPr="00653510">
        <w:rPr>
          <w:sz w:val="22"/>
          <w:szCs w:val="22"/>
        </w:rPr>
        <w:t xml:space="preserve"> co pozwoli na </w:t>
      </w:r>
      <w:r w:rsidR="00C64C6C" w:rsidRPr="00653510">
        <w:rPr>
          <w:sz w:val="22"/>
          <w:szCs w:val="22"/>
          <w:lang w:eastAsia="pl-PL"/>
        </w:rPr>
        <w:t>poznanie genetycznych uwarunkowań odporności na mątwiki zaobserwowanej w gatunku</w:t>
      </w:r>
      <w:r w:rsidR="00E22BA8">
        <w:rPr>
          <w:sz w:val="22"/>
          <w:szCs w:val="22"/>
          <w:lang w:eastAsia="pl-PL"/>
        </w:rPr>
        <w:t xml:space="preserve"> </w:t>
      </w:r>
      <w:r w:rsidR="00C64C6C" w:rsidRPr="00653510">
        <w:rPr>
          <w:sz w:val="22"/>
          <w:szCs w:val="22"/>
          <w:lang w:eastAsia="pl-PL"/>
        </w:rPr>
        <w:t xml:space="preserve"> </w:t>
      </w:r>
      <w:r w:rsidR="00C64C6C" w:rsidRPr="00653510">
        <w:rPr>
          <w:i/>
          <w:iCs/>
          <w:sz w:val="22"/>
          <w:szCs w:val="22"/>
          <w:lang w:eastAsia="pl-PL"/>
        </w:rPr>
        <w:t>S.  gourlayi</w:t>
      </w:r>
      <w:r w:rsidR="00C64C6C" w:rsidRPr="00653510">
        <w:rPr>
          <w:sz w:val="22"/>
          <w:szCs w:val="22"/>
        </w:rPr>
        <w:t xml:space="preserve"> oraz namnożenie materiału bulwowego wybranej populacji mapującej.</w:t>
      </w:r>
    </w:p>
    <w:p w:rsidR="00477A09" w:rsidRPr="003F58D5" w:rsidRDefault="00477A09" w:rsidP="00E22BA8">
      <w:pPr>
        <w:tabs>
          <w:tab w:val="left" w:pos="426"/>
          <w:tab w:val="left" w:pos="1418"/>
        </w:tabs>
        <w:spacing w:line="276" w:lineRule="auto"/>
        <w:jc w:val="both"/>
        <w:rPr>
          <w:sz w:val="16"/>
          <w:szCs w:val="16"/>
          <w:highlight w:val="yellow"/>
        </w:rPr>
      </w:pPr>
    </w:p>
    <w:p w:rsidR="00477A09" w:rsidRPr="006067DD" w:rsidRDefault="00477A09" w:rsidP="003F58D5">
      <w:pPr>
        <w:pStyle w:val="HTML-wstpniesformatowany"/>
        <w:shd w:val="clear" w:color="auto" w:fill="FFFFFF"/>
        <w:spacing w:line="276" w:lineRule="auto"/>
        <w:rPr>
          <w:rFonts w:ascii="Times New Roman" w:hAnsi="Times New Roman" w:cs="Times New Roman"/>
          <w:b/>
          <w:color w:val="000000"/>
          <w:sz w:val="24"/>
          <w:szCs w:val="24"/>
        </w:rPr>
      </w:pPr>
      <w:r w:rsidRPr="006067DD">
        <w:rPr>
          <w:rFonts w:ascii="Times New Roman" w:hAnsi="Times New Roman" w:cs="Times New Roman"/>
          <w:b/>
          <w:color w:val="000000"/>
          <w:sz w:val="24"/>
          <w:szCs w:val="24"/>
        </w:rPr>
        <w:t>Materiały i metody</w:t>
      </w:r>
    </w:p>
    <w:p w:rsidR="00477A09" w:rsidRPr="009E11EB" w:rsidRDefault="00477A09" w:rsidP="00E22BA8">
      <w:pPr>
        <w:pStyle w:val="HTML-wstpniesformatowany"/>
        <w:shd w:val="clear" w:color="auto" w:fill="FFFFFF"/>
        <w:spacing w:line="276" w:lineRule="auto"/>
        <w:jc w:val="both"/>
        <w:rPr>
          <w:rFonts w:ascii="Times New Roman" w:hAnsi="Times New Roman" w:cs="Times New Roman"/>
          <w:bCs/>
          <w:noProof/>
          <w:sz w:val="24"/>
          <w:szCs w:val="24"/>
          <w:lang w:eastAsia="en-US"/>
        </w:rPr>
      </w:pPr>
      <w:r w:rsidRPr="009E11EB">
        <w:rPr>
          <w:rFonts w:ascii="Times New Roman" w:hAnsi="Times New Roman" w:cs="Times New Roman"/>
          <w:bCs/>
          <w:noProof/>
          <w:sz w:val="24"/>
          <w:szCs w:val="24"/>
          <w:lang w:eastAsia="en-US"/>
        </w:rPr>
        <w:t>W 201</w:t>
      </w:r>
      <w:r w:rsidR="00C64C6C">
        <w:rPr>
          <w:rFonts w:ascii="Times New Roman" w:hAnsi="Times New Roman" w:cs="Times New Roman"/>
          <w:bCs/>
          <w:noProof/>
          <w:sz w:val="24"/>
          <w:szCs w:val="24"/>
          <w:lang w:eastAsia="en-US"/>
        </w:rPr>
        <w:t>9</w:t>
      </w:r>
      <w:r w:rsidRPr="009E11EB">
        <w:rPr>
          <w:rFonts w:ascii="Times New Roman" w:hAnsi="Times New Roman" w:cs="Times New Roman"/>
          <w:bCs/>
          <w:noProof/>
          <w:sz w:val="24"/>
          <w:szCs w:val="24"/>
          <w:lang w:eastAsia="en-US"/>
        </w:rPr>
        <w:t xml:space="preserve"> roku w ramach tematu przeprowadzono ocenę </w:t>
      </w:r>
      <w:r w:rsidR="00C64C6C">
        <w:rPr>
          <w:rFonts w:ascii="Times New Roman" w:hAnsi="Times New Roman" w:cs="Times New Roman"/>
          <w:bCs/>
          <w:noProof/>
          <w:sz w:val="24"/>
          <w:szCs w:val="24"/>
          <w:lang w:eastAsia="en-US"/>
        </w:rPr>
        <w:t xml:space="preserve">wybranych 50 </w:t>
      </w:r>
      <w:r w:rsidRPr="009E11EB">
        <w:rPr>
          <w:rFonts w:ascii="Times New Roman" w:hAnsi="Times New Roman" w:cs="Times New Roman"/>
          <w:bCs/>
          <w:noProof/>
          <w:sz w:val="24"/>
          <w:szCs w:val="24"/>
          <w:lang w:eastAsia="en-US"/>
        </w:rPr>
        <w:t xml:space="preserve">tetraploidalnych (4x) klonów ziemniaka pod kątem odporności na patotypy </w:t>
      </w:r>
      <w:r w:rsidR="00C64C6C">
        <w:rPr>
          <w:rFonts w:ascii="Times New Roman" w:hAnsi="Times New Roman" w:cs="Times New Roman"/>
          <w:bCs/>
          <w:noProof/>
          <w:sz w:val="24"/>
          <w:szCs w:val="24"/>
          <w:lang w:eastAsia="en-US"/>
        </w:rPr>
        <w:t xml:space="preserve">Ro1-5 </w:t>
      </w:r>
      <w:r w:rsidRPr="009E11EB">
        <w:rPr>
          <w:rFonts w:ascii="Times New Roman" w:hAnsi="Times New Roman" w:cs="Times New Roman"/>
          <w:bCs/>
          <w:i/>
          <w:noProof/>
          <w:sz w:val="24"/>
          <w:szCs w:val="24"/>
          <w:lang w:eastAsia="en-US"/>
        </w:rPr>
        <w:t xml:space="preserve">Globodera </w:t>
      </w:r>
      <w:r w:rsidR="00C64C6C">
        <w:rPr>
          <w:rFonts w:ascii="Times New Roman" w:hAnsi="Times New Roman" w:cs="Times New Roman"/>
          <w:bCs/>
          <w:i/>
          <w:noProof/>
          <w:sz w:val="24"/>
          <w:szCs w:val="24"/>
          <w:lang w:eastAsia="en-US"/>
        </w:rPr>
        <w:t>rostochiensis</w:t>
      </w:r>
      <w:r w:rsidRPr="009E11EB">
        <w:rPr>
          <w:rFonts w:ascii="Times New Roman" w:hAnsi="Times New Roman" w:cs="Times New Roman"/>
          <w:bCs/>
          <w:noProof/>
          <w:sz w:val="24"/>
          <w:szCs w:val="24"/>
          <w:lang w:eastAsia="en-US"/>
        </w:rPr>
        <w:t xml:space="preserve">. Test przygotowano w </w:t>
      </w:r>
      <w:r w:rsidR="00C64C6C">
        <w:rPr>
          <w:rFonts w:ascii="Times New Roman" w:hAnsi="Times New Roman" w:cs="Times New Roman"/>
          <w:bCs/>
          <w:noProof/>
          <w:sz w:val="24"/>
          <w:szCs w:val="24"/>
          <w:lang w:eastAsia="en-US"/>
        </w:rPr>
        <w:t>10</w:t>
      </w:r>
      <w:r w:rsidRPr="009E11EB">
        <w:rPr>
          <w:rFonts w:ascii="Times New Roman" w:hAnsi="Times New Roman" w:cs="Times New Roman"/>
          <w:bCs/>
          <w:noProof/>
          <w:sz w:val="24"/>
          <w:szCs w:val="24"/>
          <w:lang w:eastAsia="en-US"/>
        </w:rPr>
        <w:t xml:space="preserve"> powtórzeniach dla kombinacji klon/patotyp.</w:t>
      </w:r>
    </w:p>
    <w:p w:rsidR="00477A09" w:rsidRPr="009E11EB" w:rsidRDefault="00477A09" w:rsidP="00E22BA8">
      <w:pPr>
        <w:pStyle w:val="HTML-wstpniesformatowany"/>
        <w:shd w:val="clear" w:color="auto" w:fill="FFFFFF"/>
        <w:spacing w:line="276" w:lineRule="auto"/>
        <w:ind w:firstLine="919"/>
        <w:jc w:val="both"/>
        <w:rPr>
          <w:rFonts w:ascii="Times New Roman" w:hAnsi="Times New Roman" w:cs="Times New Roman"/>
          <w:bCs/>
          <w:noProof/>
          <w:sz w:val="24"/>
          <w:szCs w:val="24"/>
          <w:lang w:eastAsia="en-US"/>
        </w:rPr>
      </w:pPr>
      <w:r w:rsidRPr="009E11EB">
        <w:rPr>
          <w:rFonts w:ascii="Times New Roman" w:hAnsi="Times New Roman" w:cs="Times New Roman"/>
          <w:bCs/>
          <w:noProof/>
          <w:sz w:val="24"/>
          <w:szCs w:val="24"/>
          <w:lang w:eastAsia="en-US"/>
        </w:rPr>
        <w:t xml:space="preserve">Testy odporności zostały wykonane zgodnie z procedurą EPPO. Próby zostały przeprowadzone na pojedynczych  bulwach w doniczkach o pojemności </w:t>
      </w:r>
      <w:smartTag w:uri="urn:schemas-microsoft-com:office:smarttags" w:element="metricconverter">
        <w:smartTagPr>
          <w:attr w:name="ProductID" w:val="1 litra"/>
        </w:smartTagPr>
        <w:r w:rsidRPr="009E11EB">
          <w:rPr>
            <w:rFonts w:ascii="Times New Roman" w:hAnsi="Times New Roman" w:cs="Times New Roman"/>
            <w:bCs/>
            <w:noProof/>
            <w:sz w:val="24"/>
            <w:szCs w:val="24"/>
            <w:lang w:eastAsia="en-US"/>
          </w:rPr>
          <w:t>1 litra</w:t>
        </w:r>
      </w:smartTag>
      <w:r w:rsidRPr="009E11EB">
        <w:rPr>
          <w:rFonts w:ascii="Times New Roman" w:hAnsi="Times New Roman" w:cs="Times New Roman"/>
          <w:bCs/>
          <w:noProof/>
          <w:sz w:val="24"/>
          <w:szCs w:val="24"/>
          <w:lang w:eastAsia="en-US"/>
        </w:rPr>
        <w:t xml:space="preserve"> z glebą zawierającą żywe cysty nicieni. Rośliny po posadzeniu rosły w szklarni przez </w:t>
      </w:r>
      <w:r w:rsidR="00C64C6C">
        <w:rPr>
          <w:rFonts w:ascii="Times New Roman" w:hAnsi="Times New Roman" w:cs="Times New Roman"/>
          <w:bCs/>
          <w:noProof/>
          <w:sz w:val="24"/>
          <w:szCs w:val="24"/>
          <w:lang w:eastAsia="en-US"/>
        </w:rPr>
        <w:t>trzy miesiące</w:t>
      </w:r>
      <w:r w:rsidRPr="009E11EB">
        <w:rPr>
          <w:rFonts w:ascii="Times New Roman" w:hAnsi="Times New Roman" w:cs="Times New Roman"/>
          <w:bCs/>
          <w:noProof/>
          <w:sz w:val="24"/>
          <w:szCs w:val="24"/>
          <w:lang w:eastAsia="en-US"/>
        </w:rPr>
        <w:t>. Po tym okresie liczono cysty z każdej doniczki. Stosunek liczby cyst z badanego klonu do liczby cyst z podatnej odmiany kontrolnej stanowi o stopniu odporności danego genotypu. Odporność na nicienie jest oceniana w skali 9-cio stopniowej, w której 9 oznacza najwyższy stopień odporności.</w:t>
      </w:r>
    </w:p>
    <w:p w:rsidR="0048685C" w:rsidRDefault="00477A09" w:rsidP="00E22BA8">
      <w:pPr>
        <w:pStyle w:val="HTML-wstpniesformatowany"/>
        <w:spacing w:line="276" w:lineRule="auto"/>
        <w:ind w:firstLine="919"/>
        <w:jc w:val="both"/>
        <w:rPr>
          <w:rFonts w:ascii="Times New Roman" w:hAnsi="Times New Roman" w:cs="Times New Roman"/>
          <w:sz w:val="22"/>
          <w:szCs w:val="22"/>
        </w:rPr>
      </w:pPr>
      <w:r w:rsidRPr="00402046">
        <w:rPr>
          <w:rFonts w:ascii="Times New Roman" w:hAnsi="Times New Roman" w:cs="Times New Roman"/>
          <w:bCs/>
          <w:noProof/>
          <w:sz w:val="24"/>
          <w:szCs w:val="24"/>
          <w:lang w:eastAsia="en-US"/>
        </w:rPr>
        <w:t xml:space="preserve">Przeprowadzono również doświadczenie polowe z udziałem klonów tetraploidalnych. Oceniano cechy takie jak: plon, zawartość skrobi, plon skrobi, wielkość bulw, kształt, regularność zarysu, głębokość oczek i intensywność występowania wad bulw. </w:t>
      </w:r>
      <w:r w:rsidRPr="003539AC">
        <w:rPr>
          <w:rFonts w:ascii="Times New Roman" w:hAnsi="Times New Roman" w:cs="Times New Roman"/>
          <w:sz w:val="22"/>
          <w:szCs w:val="22"/>
        </w:rPr>
        <w:t>Dla klonów</w:t>
      </w:r>
      <w:r w:rsidR="00016A4E">
        <w:rPr>
          <w:rFonts w:ascii="Times New Roman" w:hAnsi="Times New Roman" w:cs="Times New Roman"/>
          <w:sz w:val="22"/>
          <w:szCs w:val="22"/>
        </w:rPr>
        <w:t xml:space="preserve"> tych </w:t>
      </w:r>
      <w:r>
        <w:rPr>
          <w:rFonts w:ascii="Times New Roman" w:hAnsi="Times New Roman" w:cs="Times New Roman"/>
          <w:sz w:val="22"/>
          <w:szCs w:val="22"/>
        </w:rPr>
        <w:t>wykonano</w:t>
      </w:r>
      <w:r w:rsidR="0048685C">
        <w:rPr>
          <w:rFonts w:ascii="Times New Roman" w:hAnsi="Times New Roman" w:cs="Times New Roman"/>
          <w:sz w:val="22"/>
          <w:szCs w:val="22"/>
        </w:rPr>
        <w:t xml:space="preserve"> również</w:t>
      </w:r>
      <w:r w:rsidRPr="003539AC">
        <w:rPr>
          <w:rFonts w:ascii="Times New Roman" w:hAnsi="Times New Roman" w:cs="Times New Roman"/>
          <w:sz w:val="22"/>
          <w:szCs w:val="22"/>
        </w:rPr>
        <w:t xml:space="preserve"> analizę molekularną obecności fragm</w:t>
      </w:r>
      <w:r>
        <w:rPr>
          <w:rFonts w:ascii="Times New Roman" w:hAnsi="Times New Roman" w:cs="Times New Roman"/>
          <w:sz w:val="22"/>
          <w:szCs w:val="22"/>
        </w:rPr>
        <w:t>ent</w:t>
      </w:r>
      <w:r w:rsidR="00016A4E">
        <w:rPr>
          <w:rFonts w:ascii="Times New Roman" w:hAnsi="Times New Roman" w:cs="Times New Roman"/>
          <w:sz w:val="22"/>
          <w:szCs w:val="22"/>
        </w:rPr>
        <w:t>ów</w:t>
      </w:r>
      <w:r>
        <w:rPr>
          <w:rFonts w:ascii="Times New Roman" w:hAnsi="Times New Roman" w:cs="Times New Roman"/>
          <w:sz w:val="22"/>
          <w:szCs w:val="22"/>
        </w:rPr>
        <w:t xml:space="preserve"> diagnostyczn</w:t>
      </w:r>
      <w:r w:rsidR="00016A4E">
        <w:rPr>
          <w:rFonts w:ascii="Times New Roman" w:hAnsi="Times New Roman" w:cs="Times New Roman"/>
          <w:sz w:val="22"/>
          <w:szCs w:val="22"/>
        </w:rPr>
        <w:t xml:space="preserve">ych </w:t>
      </w:r>
      <w:r>
        <w:rPr>
          <w:rFonts w:ascii="Times New Roman" w:hAnsi="Times New Roman" w:cs="Times New Roman"/>
          <w:sz w:val="22"/>
          <w:szCs w:val="22"/>
        </w:rPr>
        <w:t xml:space="preserve">markera </w:t>
      </w:r>
      <w:r w:rsidR="00016A4E" w:rsidRPr="00016A4E">
        <w:rPr>
          <w:rFonts w:ascii="Times New Roman" w:hAnsi="Times New Roman" w:cs="Times New Roman"/>
          <w:sz w:val="22"/>
          <w:szCs w:val="22"/>
        </w:rPr>
        <w:t xml:space="preserve">GP122 genu </w:t>
      </w:r>
      <w:proofErr w:type="spellStart"/>
      <w:r w:rsidR="00016A4E" w:rsidRPr="00016A4E">
        <w:rPr>
          <w:rFonts w:ascii="Times New Roman" w:hAnsi="Times New Roman" w:cs="Times New Roman"/>
          <w:i/>
          <w:sz w:val="22"/>
          <w:szCs w:val="22"/>
        </w:rPr>
        <w:t>Ry-f</w:t>
      </w:r>
      <w:r w:rsidR="00016A4E" w:rsidRPr="00016A4E">
        <w:rPr>
          <w:rFonts w:ascii="Times New Roman" w:hAnsi="Times New Roman" w:cs="Times New Roman"/>
          <w:i/>
          <w:sz w:val="22"/>
          <w:szCs w:val="22"/>
          <w:vertAlign w:val="subscript"/>
        </w:rPr>
        <w:t>sto</w:t>
      </w:r>
      <w:proofErr w:type="spellEnd"/>
      <w:r w:rsidR="00016A4E">
        <w:rPr>
          <w:rFonts w:ascii="Times New Roman" w:hAnsi="Times New Roman" w:cs="Times New Roman"/>
          <w:sz w:val="22"/>
          <w:szCs w:val="22"/>
        </w:rPr>
        <w:t xml:space="preserve">, warunkującego </w:t>
      </w:r>
      <w:r w:rsidR="00016A4E" w:rsidRPr="00016A4E">
        <w:rPr>
          <w:rFonts w:ascii="Times New Roman" w:hAnsi="Times New Roman" w:cs="Times New Roman"/>
          <w:sz w:val="22"/>
          <w:szCs w:val="22"/>
        </w:rPr>
        <w:t>odpornoś</w:t>
      </w:r>
      <w:r w:rsidR="00016A4E">
        <w:rPr>
          <w:rFonts w:ascii="Times New Roman" w:hAnsi="Times New Roman" w:cs="Times New Roman"/>
          <w:sz w:val="22"/>
          <w:szCs w:val="22"/>
        </w:rPr>
        <w:t>ć</w:t>
      </w:r>
      <w:r w:rsidR="00016A4E" w:rsidRPr="00016A4E">
        <w:rPr>
          <w:rFonts w:ascii="Times New Roman" w:hAnsi="Times New Roman" w:cs="Times New Roman"/>
          <w:sz w:val="22"/>
          <w:szCs w:val="22"/>
        </w:rPr>
        <w:t xml:space="preserve"> na wirus Y ziemniaka </w:t>
      </w:r>
      <w:r w:rsidR="0048685C">
        <w:rPr>
          <w:rFonts w:ascii="Times New Roman" w:hAnsi="Times New Roman" w:cs="Times New Roman"/>
          <w:sz w:val="22"/>
          <w:szCs w:val="22"/>
        </w:rPr>
        <w:t>oraz markera Nl</w:t>
      </w:r>
      <w:r w:rsidR="0048685C" w:rsidRPr="00CF020D">
        <w:rPr>
          <w:rFonts w:ascii="Times New Roman" w:hAnsi="Times New Roman" w:cs="Times New Roman"/>
          <w:sz w:val="22"/>
          <w:szCs w:val="22"/>
        </w:rPr>
        <w:t>25</w:t>
      </w:r>
      <w:r w:rsidR="0048685C" w:rsidRPr="00526019">
        <w:rPr>
          <w:rFonts w:ascii="Times New Roman" w:hAnsi="Times New Roman"/>
          <w:sz w:val="22"/>
          <w:szCs w:val="22"/>
        </w:rPr>
        <w:t xml:space="preserve"> </w:t>
      </w:r>
      <w:r w:rsidR="0048685C" w:rsidRPr="00526019">
        <w:rPr>
          <w:rFonts w:ascii="Times New Roman" w:hAnsi="Times New Roman" w:cs="Times New Roman"/>
          <w:sz w:val="22"/>
          <w:szCs w:val="22"/>
        </w:rPr>
        <w:t xml:space="preserve">genu </w:t>
      </w:r>
      <w:r w:rsidR="0048685C" w:rsidRPr="00526019">
        <w:rPr>
          <w:rFonts w:ascii="Times New Roman" w:hAnsi="Times New Roman" w:cs="Times New Roman"/>
          <w:i/>
          <w:sz w:val="22"/>
          <w:szCs w:val="22"/>
        </w:rPr>
        <w:t>Sen1</w:t>
      </w:r>
      <w:r w:rsidR="0048685C">
        <w:rPr>
          <w:rFonts w:ascii="Times New Roman" w:hAnsi="Times New Roman" w:cs="Times New Roman"/>
          <w:sz w:val="22"/>
          <w:szCs w:val="22"/>
        </w:rPr>
        <w:t xml:space="preserve">, warunkującego odporność na </w:t>
      </w:r>
      <w:r w:rsidR="00016A4E" w:rsidRPr="00016A4E">
        <w:rPr>
          <w:rFonts w:ascii="Times New Roman" w:hAnsi="Times New Roman" w:cs="Times New Roman"/>
          <w:sz w:val="22"/>
          <w:szCs w:val="22"/>
        </w:rPr>
        <w:t xml:space="preserve">raka ziemniaka. </w:t>
      </w:r>
      <w:r w:rsidR="0048685C">
        <w:rPr>
          <w:rFonts w:ascii="Times New Roman" w:hAnsi="Times New Roman"/>
          <w:sz w:val="22"/>
          <w:szCs w:val="22"/>
        </w:rPr>
        <w:t>Ponadto w</w:t>
      </w:r>
      <w:r>
        <w:rPr>
          <w:rFonts w:ascii="Times New Roman" w:hAnsi="Times New Roman"/>
          <w:sz w:val="22"/>
          <w:szCs w:val="22"/>
        </w:rPr>
        <w:t>ybrane</w:t>
      </w:r>
      <w:r w:rsidR="0048685C">
        <w:rPr>
          <w:rFonts w:ascii="Times New Roman" w:hAnsi="Times New Roman" w:cs="Times New Roman"/>
          <w:sz w:val="22"/>
          <w:szCs w:val="22"/>
        </w:rPr>
        <w:t xml:space="preserve"> wyróżniające się klony oceniono pod kątem cech kulinarnych. </w:t>
      </w:r>
    </w:p>
    <w:p w:rsidR="00477A09" w:rsidRDefault="00477A09" w:rsidP="00E22BA8">
      <w:pPr>
        <w:pStyle w:val="HTML-wstpniesformatowany"/>
        <w:shd w:val="clear" w:color="auto" w:fill="FFFFFF"/>
        <w:spacing w:line="276" w:lineRule="auto"/>
        <w:ind w:firstLine="919"/>
        <w:jc w:val="both"/>
        <w:rPr>
          <w:rFonts w:ascii="Times New Roman" w:hAnsi="Times New Roman" w:cs="Times New Roman"/>
          <w:bCs/>
          <w:noProof/>
          <w:sz w:val="24"/>
          <w:szCs w:val="24"/>
          <w:lang w:eastAsia="en-US"/>
        </w:rPr>
      </w:pPr>
      <w:r w:rsidRPr="00402046">
        <w:rPr>
          <w:rFonts w:ascii="Times New Roman" w:hAnsi="Times New Roman" w:cs="Times New Roman"/>
          <w:bCs/>
          <w:noProof/>
          <w:sz w:val="24"/>
          <w:szCs w:val="24"/>
          <w:lang w:eastAsia="en-US"/>
        </w:rPr>
        <w:t xml:space="preserve">Wykonano także program krzyżowań interploidalnych </w:t>
      </w:r>
      <w:r w:rsidR="0048685C" w:rsidRPr="00402046">
        <w:rPr>
          <w:rFonts w:ascii="Times New Roman" w:hAnsi="Times New Roman" w:cs="Times New Roman"/>
          <w:bCs/>
          <w:noProof/>
          <w:sz w:val="24"/>
          <w:szCs w:val="24"/>
          <w:lang w:eastAsia="en-US"/>
        </w:rPr>
        <w:t>mając</w:t>
      </w:r>
      <w:r w:rsidR="0048685C">
        <w:rPr>
          <w:rFonts w:ascii="Times New Roman" w:hAnsi="Times New Roman" w:cs="Times New Roman"/>
          <w:bCs/>
          <w:noProof/>
          <w:sz w:val="24"/>
          <w:szCs w:val="24"/>
          <w:lang w:eastAsia="en-US"/>
        </w:rPr>
        <w:t>e</w:t>
      </w:r>
      <w:r w:rsidR="0048685C" w:rsidRPr="00402046">
        <w:rPr>
          <w:rFonts w:ascii="Times New Roman" w:hAnsi="Times New Roman" w:cs="Times New Roman"/>
          <w:bCs/>
          <w:noProof/>
          <w:sz w:val="24"/>
          <w:szCs w:val="24"/>
          <w:lang w:eastAsia="en-US"/>
        </w:rPr>
        <w:t xml:space="preserve"> na celu </w:t>
      </w:r>
      <w:r w:rsidR="0048685C" w:rsidRPr="00402046">
        <w:rPr>
          <w:rFonts w:ascii="Times New Roman" w:hAnsi="Times New Roman"/>
          <w:sz w:val="22"/>
          <w:szCs w:val="22"/>
        </w:rPr>
        <w:t xml:space="preserve">wprowadzenie odporności z </w:t>
      </w:r>
      <w:r w:rsidR="0048685C" w:rsidRPr="00402046">
        <w:rPr>
          <w:rFonts w:ascii="Times New Roman" w:hAnsi="Times New Roman"/>
          <w:i/>
          <w:sz w:val="22"/>
          <w:szCs w:val="22"/>
        </w:rPr>
        <w:t>Solanum gourlayi</w:t>
      </w:r>
      <w:r w:rsidR="0048685C" w:rsidRPr="00402046">
        <w:rPr>
          <w:rFonts w:ascii="Times New Roman" w:hAnsi="Times New Roman"/>
          <w:sz w:val="22"/>
          <w:szCs w:val="22"/>
        </w:rPr>
        <w:t xml:space="preserve"> na poziom tetraploidalny</w:t>
      </w:r>
      <w:r w:rsidR="0048685C" w:rsidRPr="00402046">
        <w:rPr>
          <w:rFonts w:ascii="Times New Roman" w:hAnsi="Times New Roman" w:cs="Times New Roman"/>
          <w:bCs/>
          <w:noProof/>
          <w:sz w:val="24"/>
          <w:szCs w:val="24"/>
          <w:lang w:eastAsia="en-US"/>
        </w:rPr>
        <w:t>.</w:t>
      </w:r>
      <w:r w:rsidR="0048685C">
        <w:rPr>
          <w:rFonts w:ascii="Times New Roman" w:hAnsi="Times New Roman" w:cs="Times New Roman"/>
          <w:bCs/>
          <w:noProof/>
          <w:sz w:val="24"/>
          <w:szCs w:val="24"/>
          <w:lang w:eastAsia="en-US"/>
        </w:rPr>
        <w:t xml:space="preserve"> W</w:t>
      </w:r>
      <w:r w:rsidRPr="00402046">
        <w:rPr>
          <w:rFonts w:ascii="Times New Roman" w:hAnsi="Times New Roman" w:cs="Times New Roman"/>
          <w:bCs/>
          <w:noProof/>
          <w:sz w:val="24"/>
          <w:szCs w:val="24"/>
          <w:lang w:eastAsia="en-US"/>
        </w:rPr>
        <w:t>ykorzystan</w:t>
      </w:r>
      <w:r w:rsidR="0048685C">
        <w:rPr>
          <w:rFonts w:ascii="Times New Roman" w:hAnsi="Times New Roman" w:cs="Times New Roman"/>
          <w:bCs/>
          <w:noProof/>
          <w:sz w:val="24"/>
          <w:szCs w:val="24"/>
          <w:lang w:eastAsia="en-US"/>
        </w:rPr>
        <w:t>o</w:t>
      </w:r>
      <w:r w:rsidRPr="00402046">
        <w:rPr>
          <w:rFonts w:ascii="Times New Roman" w:hAnsi="Times New Roman" w:cs="Times New Roman"/>
          <w:bCs/>
          <w:noProof/>
          <w:sz w:val="24"/>
          <w:szCs w:val="24"/>
          <w:lang w:eastAsia="en-US"/>
        </w:rPr>
        <w:t xml:space="preserve"> </w:t>
      </w:r>
      <w:r w:rsidR="0048685C">
        <w:rPr>
          <w:rFonts w:ascii="Times New Roman" w:hAnsi="Times New Roman" w:cs="Times New Roman"/>
          <w:bCs/>
          <w:noProof/>
          <w:sz w:val="24"/>
          <w:szCs w:val="24"/>
          <w:lang w:eastAsia="en-US"/>
        </w:rPr>
        <w:t>dwie formy mateczne 4x</w:t>
      </w:r>
      <w:r w:rsidRPr="00402046">
        <w:rPr>
          <w:rFonts w:ascii="Times New Roman" w:hAnsi="Times New Roman" w:cs="Times New Roman"/>
          <w:bCs/>
          <w:noProof/>
          <w:sz w:val="24"/>
          <w:szCs w:val="24"/>
          <w:lang w:eastAsia="en-US"/>
        </w:rPr>
        <w:t xml:space="preserve"> (</w:t>
      </w:r>
      <w:r>
        <w:rPr>
          <w:rFonts w:ascii="Times New Roman" w:hAnsi="Times New Roman" w:cs="Times New Roman"/>
          <w:bCs/>
          <w:noProof/>
          <w:sz w:val="24"/>
          <w:szCs w:val="24"/>
          <w:lang w:eastAsia="en-US"/>
        </w:rPr>
        <w:t xml:space="preserve">klony 4x: </w:t>
      </w:r>
      <w:r w:rsidRPr="00402046">
        <w:rPr>
          <w:rFonts w:ascii="Times New Roman" w:hAnsi="Times New Roman" w:cs="Times New Roman"/>
          <w:bCs/>
          <w:noProof/>
          <w:sz w:val="24"/>
          <w:szCs w:val="24"/>
          <w:lang w:eastAsia="en-US"/>
        </w:rPr>
        <w:t>PW 363</w:t>
      </w:r>
      <w:r>
        <w:rPr>
          <w:rFonts w:ascii="Times New Roman" w:hAnsi="Times New Roman" w:cs="Times New Roman"/>
          <w:bCs/>
          <w:noProof/>
          <w:sz w:val="24"/>
          <w:szCs w:val="24"/>
          <w:lang w:eastAsia="en-US"/>
        </w:rPr>
        <w:t xml:space="preserve"> i </w:t>
      </w:r>
      <w:r w:rsidRPr="00402046">
        <w:rPr>
          <w:rFonts w:ascii="Times New Roman" w:hAnsi="Times New Roman" w:cs="Times New Roman"/>
          <w:bCs/>
          <w:noProof/>
          <w:sz w:val="24"/>
          <w:szCs w:val="24"/>
          <w:lang w:eastAsia="en-US"/>
        </w:rPr>
        <w:t>11-VIII-86</w:t>
      </w:r>
      <w:r w:rsidR="0048685C">
        <w:rPr>
          <w:rFonts w:ascii="Times New Roman" w:hAnsi="Times New Roman" w:cs="Times New Roman"/>
          <w:bCs/>
          <w:noProof/>
          <w:sz w:val="24"/>
          <w:szCs w:val="24"/>
          <w:lang w:eastAsia="en-US"/>
        </w:rPr>
        <w:t xml:space="preserve">). </w:t>
      </w:r>
      <w:r w:rsidR="0048685C">
        <w:rPr>
          <w:rFonts w:ascii="Times New Roman" w:hAnsi="Times New Roman" w:cs="Times New Roman"/>
          <w:sz w:val="22"/>
          <w:szCs w:val="22"/>
        </w:rPr>
        <w:t>Jako f</w:t>
      </w:r>
      <w:r w:rsidR="0048685C" w:rsidRPr="005A42ED">
        <w:rPr>
          <w:rFonts w:ascii="Times New Roman" w:hAnsi="Times New Roman" w:cs="Times New Roman"/>
          <w:sz w:val="22"/>
          <w:szCs w:val="22"/>
        </w:rPr>
        <w:t>orm</w:t>
      </w:r>
      <w:r w:rsidR="0048685C">
        <w:rPr>
          <w:rFonts w:ascii="Times New Roman" w:hAnsi="Times New Roman" w:cs="Times New Roman"/>
          <w:sz w:val="22"/>
          <w:szCs w:val="22"/>
        </w:rPr>
        <w:t>y</w:t>
      </w:r>
      <w:r w:rsidR="0048685C" w:rsidRPr="005A42ED">
        <w:rPr>
          <w:rFonts w:ascii="Times New Roman" w:hAnsi="Times New Roman" w:cs="Times New Roman"/>
          <w:sz w:val="22"/>
          <w:szCs w:val="22"/>
        </w:rPr>
        <w:t xml:space="preserve"> ojcowsk</w:t>
      </w:r>
      <w:r w:rsidR="0048685C">
        <w:rPr>
          <w:rFonts w:ascii="Times New Roman" w:hAnsi="Times New Roman" w:cs="Times New Roman"/>
          <w:sz w:val="22"/>
          <w:szCs w:val="22"/>
        </w:rPr>
        <w:t>ie</w:t>
      </w:r>
      <w:r w:rsidR="0048685C" w:rsidRPr="005A42ED">
        <w:rPr>
          <w:rFonts w:ascii="Times New Roman" w:hAnsi="Times New Roman" w:cs="Times New Roman"/>
          <w:sz w:val="22"/>
          <w:szCs w:val="22"/>
        </w:rPr>
        <w:t xml:space="preserve"> </w:t>
      </w:r>
      <w:r w:rsidR="0048685C">
        <w:rPr>
          <w:rFonts w:ascii="Times New Roman" w:hAnsi="Times New Roman" w:cs="Times New Roman"/>
          <w:sz w:val="22"/>
          <w:szCs w:val="22"/>
        </w:rPr>
        <w:t>(</w:t>
      </w:r>
      <w:r w:rsidR="0048685C" w:rsidRPr="005A42ED">
        <w:rPr>
          <w:rFonts w:ascii="Times New Roman" w:hAnsi="Times New Roman" w:cs="Times New Roman"/>
          <w:sz w:val="22"/>
          <w:szCs w:val="22"/>
        </w:rPr>
        <w:t>2x</w:t>
      </w:r>
      <w:r w:rsidR="0048685C">
        <w:rPr>
          <w:rFonts w:ascii="Times New Roman" w:hAnsi="Times New Roman" w:cs="Times New Roman"/>
          <w:sz w:val="22"/>
          <w:szCs w:val="22"/>
        </w:rPr>
        <w:t>)</w:t>
      </w:r>
      <w:r w:rsidR="0048685C" w:rsidRPr="005A42ED">
        <w:rPr>
          <w:rFonts w:ascii="Times New Roman" w:hAnsi="Times New Roman" w:cs="Times New Roman"/>
          <w:sz w:val="22"/>
          <w:szCs w:val="22"/>
        </w:rPr>
        <w:t xml:space="preserve"> </w:t>
      </w:r>
      <w:r w:rsidR="0048685C">
        <w:rPr>
          <w:rFonts w:ascii="Times New Roman" w:hAnsi="Times New Roman" w:cs="Times New Roman"/>
          <w:sz w:val="22"/>
          <w:szCs w:val="22"/>
        </w:rPr>
        <w:t>wykorzy</w:t>
      </w:r>
      <w:r w:rsidR="0048685C" w:rsidRPr="005A42ED">
        <w:rPr>
          <w:rFonts w:ascii="Times New Roman" w:hAnsi="Times New Roman" w:cs="Times New Roman"/>
          <w:sz w:val="22"/>
          <w:szCs w:val="22"/>
        </w:rPr>
        <w:t>stan</w:t>
      </w:r>
      <w:r w:rsidR="0048685C">
        <w:rPr>
          <w:rFonts w:ascii="Times New Roman" w:hAnsi="Times New Roman" w:cs="Times New Roman"/>
          <w:sz w:val="22"/>
          <w:szCs w:val="22"/>
        </w:rPr>
        <w:t>o 3</w:t>
      </w:r>
      <w:r w:rsidR="0048685C" w:rsidRPr="005A42ED">
        <w:rPr>
          <w:rFonts w:ascii="Times New Roman" w:hAnsi="Times New Roman" w:cs="Times New Roman"/>
          <w:sz w:val="22"/>
          <w:szCs w:val="22"/>
        </w:rPr>
        <w:t xml:space="preserve"> klon</w:t>
      </w:r>
      <w:r w:rsidR="0048685C">
        <w:rPr>
          <w:rFonts w:ascii="Times New Roman" w:hAnsi="Times New Roman" w:cs="Times New Roman"/>
          <w:sz w:val="22"/>
          <w:szCs w:val="22"/>
        </w:rPr>
        <w:t>y potomne klonu</w:t>
      </w:r>
      <w:r w:rsidR="0048685C" w:rsidRPr="005A42ED">
        <w:rPr>
          <w:rFonts w:ascii="Times New Roman" w:hAnsi="Times New Roman" w:cs="Times New Roman"/>
          <w:sz w:val="22"/>
          <w:szCs w:val="22"/>
        </w:rPr>
        <w:t xml:space="preserve"> Sg 2/7 </w:t>
      </w:r>
      <w:r w:rsidR="0048685C">
        <w:rPr>
          <w:rFonts w:ascii="Times New Roman" w:hAnsi="Times New Roman" w:cs="Times New Roman"/>
          <w:sz w:val="22"/>
          <w:szCs w:val="22"/>
        </w:rPr>
        <w:t>–</w:t>
      </w:r>
      <w:r w:rsidR="0048685C" w:rsidRPr="005A42ED">
        <w:rPr>
          <w:rFonts w:ascii="Times New Roman" w:hAnsi="Times New Roman" w:cs="Times New Roman"/>
          <w:sz w:val="22"/>
          <w:szCs w:val="22"/>
        </w:rPr>
        <w:t xml:space="preserve"> </w:t>
      </w:r>
      <w:r w:rsidR="0048685C">
        <w:rPr>
          <w:rFonts w:ascii="Times New Roman" w:hAnsi="Times New Roman" w:cs="Times New Roman"/>
          <w:sz w:val="22"/>
          <w:szCs w:val="22"/>
        </w:rPr>
        <w:t>wybrane spośród</w:t>
      </w:r>
      <w:r w:rsidR="0048685C" w:rsidRPr="005A42ED">
        <w:rPr>
          <w:rFonts w:ascii="Times New Roman" w:hAnsi="Times New Roman" w:cs="Times New Roman"/>
          <w:sz w:val="22"/>
          <w:szCs w:val="22"/>
        </w:rPr>
        <w:t xml:space="preserve"> d</w:t>
      </w:r>
      <w:r w:rsidR="0048685C">
        <w:rPr>
          <w:rFonts w:ascii="Times New Roman" w:hAnsi="Times New Roman" w:cs="Times New Roman"/>
          <w:sz w:val="22"/>
          <w:szCs w:val="22"/>
        </w:rPr>
        <w:t>iploidalnej populacji mapującej:</w:t>
      </w:r>
      <w:r w:rsidR="0048685C" w:rsidRPr="005A42ED">
        <w:rPr>
          <w:rFonts w:ascii="Times New Roman" w:hAnsi="Times New Roman" w:cs="Times New Roman"/>
          <w:sz w:val="22"/>
          <w:szCs w:val="22"/>
        </w:rPr>
        <w:t xml:space="preserve"> </w:t>
      </w:r>
      <w:r>
        <w:rPr>
          <w:rFonts w:ascii="Times New Roman" w:hAnsi="Times New Roman" w:cs="Times New Roman"/>
          <w:bCs/>
          <w:noProof/>
          <w:sz w:val="24"/>
          <w:szCs w:val="24"/>
          <w:lang w:eastAsia="en-US"/>
        </w:rPr>
        <w:t xml:space="preserve">Sg </w:t>
      </w:r>
      <w:r w:rsidR="0048685C">
        <w:rPr>
          <w:rFonts w:ascii="Times New Roman" w:hAnsi="Times New Roman" w:cs="Times New Roman"/>
          <w:bCs/>
          <w:noProof/>
          <w:sz w:val="24"/>
          <w:szCs w:val="24"/>
          <w:lang w:eastAsia="en-US"/>
        </w:rPr>
        <w:t>13/32, Sg 13/41 i Sg 13/124</w:t>
      </w:r>
      <w:r w:rsidRPr="00402046">
        <w:rPr>
          <w:rFonts w:ascii="Times New Roman" w:hAnsi="Times New Roman" w:cs="Times New Roman"/>
          <w:bCs/>
          <w:noProof/>
          <w:sz w:val="24"/>
          <w:szCs w:val="24"/>
          <w:lang w:eastAsia="en-US"/>
        </w:rPr>
        <w:t>)</w:t>
      </w:r>
      <w:r w:rsidR="0048685C">
        <w:rPr>
          <w:rFonts w:ascii="Times New Roman" w:hAnsi="Times New Roman" w:cs="Times New Roman"/>
          <w:bCs/>
          <w:noProof/>
          <w:sz w:val="24"/>
          <w:szCs w:val="24"/>
          <w:lang w:eastAsia="en-US"/>
        </w:rPr>
        <w:t>.</w:t>
      </w:r>
      <w:r w:rsidRPr="00402046">
        <w:rPr>
          <w:rFonts w:ascii="Times New Roman" w:hAnsi="Times New Roman" w:cs="Times New Roman"/>
          <w:bCs/>
          <w:noProof/>
          <w:sz w:val="24"/>
          <w:szCs w:val="24"/>
          <w:lang w:eastAsia="en-US"/>
        </w:rPr>
        <w:t xml:space="preserve"> </w:t>
      </w:r>
      <w:r w:rsidRPr="00525CE5">
        <w:rPr>
          <w:rFonts w:ascii="Times New Roman" w:hAnsi="Times New Roman" w:cs="Times New Roman"/>
          <w:bCs/>
          <w:noProof/>
          <w:sz w:val="24"/>
          <w:szCs w:val="24"/>
          <w:lang w:eastAsia="en-US"/>
        </w:rPr>
        <w:t xml:space="preserve">Ze </w:t>
      </w:r>
      <w:r w:rsidRPr="00525CE5">
        <w:rPr>
          <w:rFonts w:ascii="Times New Roman" w:hAnsi="Times New Roman" w:cs="Times New Roman"/>
          <w:bCs/>
          <w:noProof/>
          <w:sz w:val="24"/>
          <w:szCs w:val="24"/>
          <w:lang w:eastAsia="en-US"/>
        </w:rPr>
        <w:lastRenderedPageBreak/>
        <w:t xml:space="preserve">zdrowych bulw przygotowano rośliny do krzyżowań w formie szczepień na podkładkach </w:t>
      </w:r>
      <w:r w:rsidR="0048685C">
        <w:rPr>
          <w:rFonts w:ascii="Times New Roman" w:hAnsi="Times New Roman" w:cs="Times New Roman"/>
          <w:bCs/>
          <w:noProof/>
          <w:sz w:val="24"/>
          <w:szCs w:val="24"/>
          <w:lang w:eastAsia="en-US"/>
        </w:rPr>
        <w:br/>
      </w:r>
      <w:r w:rsidRPr="00525CE5">
        <w:rPr>
          <w:rFonts w:ascii="Times New Roman" w:hAnsi="Times New Roman" w:cs="Times New Roman"/>
          <w:bCs/>
          <w:noProof/>
          <w:sz w:val="24"/>
          <w:szCs w:val="24"/>
          <w:lang w:eastAsia="en-US"/>
        </w:rPr>
        <w:t xml:space="preserve">z psianki i pomidora. W celu przedłużenia okresu kwitnienia rośliny prowadzono na 1-2 pędy. W trakcie kwitnienia pyłek zebrano, zabezpieczono oraz oceniono pod kątem płodności. </w:t>
      </w:r>
    </w:p>
    <w:p w:rsidR="00477A09" w:rsidRPr="00525CE5" w:rsidRDefault="0042146B" w:rsidP="00E22BA8">
      <w:pPr>
        <w:pStyle w:val="HTML-wstpniesformatowany"/>
        <w:shd w:val="clear" w:color="auto" w:fill="FFFFFF"/>
        <w:spacing w:line="276" w:lineRule="auto"/>
        <w:ind w:firstLine="919"/>
        <w:jc w:val="both"/>
        <w:rPr>
          <w:rFonts w:ascii="Times New Roman" w:hAnsi="Times New Roman" w:cs="Times New Roman"/>
          <w:bCs/>
          <w:noProof/>
          <w:sz w:val="24"/>
          <w:szCs w:val="24"/>
          <w:lang w:eastAsia="en-US"/>
        </w:rPr>
      </w:pPr>
      <w:r>
        <w:rPr>
          <w:rFonts w:ascii="Times New Roman" w:hAnsi="Times New Roman" w:cs="Times New Roman"/>
          <w:bCs/>
          <w:sz w:val="24"/>
          <w:szCs w:val="24"/>
        </w:rPr>
        <w:t>Stworzono mapę genetyczną oraz przeprowadzono a</w:t>
      </w:r>
      <w:r w:rsidR="0048685C" w:rsidRPr="0048685C">
        <w:rPr>
          <w:rFonts w:ascii="Times New Roman" w:hAnsi="Times New Roman" w:cs="Times New Roman"/>
          <w:bCs/>
          <w:sz w:val="24"/>
          <w:szCs w:val="24"/>
        </w:rPr>
        <w:t>nalizy QTL</w:t>
      </w:r>
      <w:r>
        <w:rPr>
          <w:rFonts w:ascii="Times New Roman" w:hAnsi="Times New Roman" w:cs="Times New Roman"/>
          <w:bCs/>
          <w:sz w:val="24"/>
          <w:szCs w:val="24"/>
        </w:rPr>
        <w:t>. Analizy QTL</w:t>
      </w:r>
      <w:r w:rsidR="0048685C" w:rsidRPr="0048685C">
        <w:rPr>
          <w:rFonts w:ascii="Times New Roman" w:hAnsi="Times New Roman" w:cs="Times New Roman"/>
          <w:bCs/>
          <w:sz w:val="24"/>
          <w:szCs w:val="24"/>
        </w:rPr>
        <w:t xml:space="preserve"> przeprowadzono </w:t>
      </w:r>
      <w:r>
        <w:rPr>
          <w:rFonts w:ascii="Times New Roman" w:hAnsi="Times New Roman" w:cs="Times New Roman"/>
          <w:bCs/>
          <w:sz w:val="24"/>
          <w:szCs w:val="24"/>
        </w:rPr>
        <w:t>stosując mapowanie interwałowe</w:t>
      </w:r>
      <w:r w:rsidR="0048685C" w:rsidRPr="0048685C">
        <w:rPr>
          <w:rFonts w:ascii="Times New Roman" w:hAnsi="Times New Roman" w:cs="Times New Roman"/>
          <w:bCs/>
          <w:sz w:val="24"/>
          <w:szCs w:val="24"/>
        </w:rPr>
        <w:t>. QTL wykrywano przyjmując wartość LOD = 3, za krytyczną.</w:t>
      </w:r>
      <w:r w:rsidR="0048685C">
        <w:rPr>
          <w:rFonts w:ascii="Times New Roman" w:hAnsi="Times New Roman" w:cs="Times New Roman"/>
          <w:bCs/>
          <w:sz w:val="24"/>
          <w:szCs w:val="24"/>
        </w:rPr>
        <w:t xml:space="preserve"> </w:t>
      </w:r>
      <w:r w:rsidR="0048685C" w:rsidRPr="0048685C">
        <w:rPr>
          <w:rFonts w:ascii="Times New Roman" w:hAnsi="Times New Roman" w:cs="Times New Roman"/>
          <w:bCs/>
          <w:sz w:val="24"/>
          <w:szCs w:val="24"/>
        </w:rPr>
        <w:t xml:space="preserve">Wykorzystano programy: Van </w:t>
      </w:r>
      <w:proofErr w:type="spellStart"/>
      <w:r w:rsidR="0048685C" w:rsidRPr="0048685C">
        <w:rPr>
          <w:rFonts w:ascii="Times New Roman" w:hAnsi="Times New Roman" w:cs="Times New Roman"/>
          <w:bCs/>
          <w:sz w:val="24"/>
          <w:szCs w:val="24"/>
        </w:rPr>
        <w:t>Oojien</w:t>
      </w:r>
      <w:proofErr w:type="spellEnd"/>
      <w:r w:rsidR="0048685C" w:rsidRPr="0048685C">
        <w:rPr>
          <w:rFonts w:ascii="Times New Roman" w:hAnsi="Times New Roman" w:cs="Times New Roman"/>
          <w:bCs/>
          <w:sz w:val="24"/>
          <w:szCs w:val="24"/>
        </w:rPr>
        <w:t xml:space="preserve"> JW (2006) JoinMap®4 oraz </w:t>
      </w:r>
      <w:r w:rsidR="0048685C">
        <w:rPr>
          <w:rFonts w:ascii="Times New Roman" w:hAnsi="Times New Roman" w:cs="Times New Roman"/>
          <w:bCs/>
          <w:sz w:val="24"/>
          <w:szCs w:val="24"/>
        </w:rPr>
        <w:t xml:space="preserve">Van </w:t>
      </w:r>
      <w:proofErr w:type="spellStart"/>
      <w:r w:rsidR="0048685C">
        <w:rPr>
          <w:rFonts w:ascii="Times New Roman" w:hAnsi="Times New Roman" w:cs="Times New Roman"/>
          <w:bCs/>
          <w:sz w:val="24"/>
          <w:szCs w:val="24"/>
        </w:rPr>
        <w:t>Ooijen</w:t>
      </w:r>
      <w:proofErr w:type="spellEnd"/>
      <w:r w:rsidR="0048685C">
        <w:rPr>
          <w:rFonts w:ascii="Times New Roman" w:hAnsi="Times New Roman" w:cs="Times New Roman"/>
          <w:bCs/>
          <w:sz w:val="24"/>
          <w:szCs w:val="24"/>
        </w:rPr>
        <w:t xml:space="preserve"> JW (2009) MapQTL®</w:t>
      </w:r>
      <w:r w:rsidR="0048685C" w:rsidRPr="0048685C">
        <w:rPr>
          <w:rFonts w:ascii="Times New Roman" w:hAnsi="Times New Roman" w:cs="Times New Roman"/>
          <w:bCs/>
          <w:sz w:val="24"/>
          <w:szCs w:val="24"/>
        </w:rPr>
        <w:t>6.</w:t>
      </w:r>
      <w:r>
        <w:rPr>
          <w:rFonts w:ascii="Times New Roman" w:hAnsi="Times New Roman" w:cs="Times New Roman"/>
          <w:bCs/>
          <w:sz w:val="24"/>
          <w:szCs w:val="24"/>
        </w:rPr>
        <w:t xml:space="preserve"> </w:t>
      </w:r>
      <w:r w:rsidR="00477A09" w:rsidRPr="00525CE5">
        <w:rPr>
          <w:rFonts w:ascii="Times New Roman" w:hAnsi="Times New Roman" w:cs="Times New Roman"/>
          <w:bCs/>
          <w:noProof/>
          <w:sz w:val="24"/>
          <w:szCs w:val="24"/>
          <w:lang w:eastAsia="en-US"/>
        </w:rPr>
        <w:t>W polu namnożon</w:t>
      </w:r>
      <w:r w:rsidR="00477A09">
        <w:rPr>
          <w:rFonts w:ascii="Times New Roman" w:hAnsi="Times New Roman" w:cs="Times New Roman"/>
          <w:bCs/>
          <w:noProof/>
          <w:sz w:val="24"/>
          <w:szCs w:val="24"/>
          <w:lang w:eastAsia="en-US"/>
        </w:rPr>
        <w:t>o</w:t>
      </w:r>
      <w:r w:rsidR="0048685C">
        <w:rPr>
          <w:rFonts w:ascii="Times New Roman" w:hAnsi="Times New Roman" w:cs="Times New Roman"/>
          <w:bCs/>
          <w:noProof/>
          <w:sz w:val="24"/>
          <w:szCs w:val="24"/>
          <w:lang w:eastAsia="en-US"/>
        </w:rPr>
        <w:t xml:space="preserve"> również</w:t>
      </w:r>
      <w:r w:rsidR="00477A09" w:rsidRPr="00525CE5">
        <w:rPr>
          <w:rFonts w:ascii="Times New Roman" w:hAnsi="Times New Roman" w:cs="Times New Roman"/>
          <w:bCs/>
          <w:noProof/>
          <w:sz w:val="24"/>
          <w:szCs w:val="24"/>
          <w:lang w:eastAsia="en-US"/>
        </w:rPr>
        <w:t xml:space="preserve"> materiał bulwowy wybranej populacji mapującej DW 94-4235 x Sg 2/7. </w:t>
      </w:r>
    </w:p>
    <w:p w:rsidR="00477A09" w:rsidRPr="003F58D5" w:rsidRDefault="00477A09" w:rsidP="00E22BA8">
      <w:pPr>
        <w:pStyle w:val="HTML-wstpniesformatowany"/>
        <w:shd w:val="clear" w:color="auto" w:fill="FFFFFF"/>
        <w:spacing w:line="276" w:lineRule="auto"/>
        <w:jc w:val="both"/>
        <w:rPr>
          <w:rFonts w:ascii="Times New Roman" w:hAnsi="Times New Roman" w:cs="Times New Roman"/>
          <w:bCs/>
          <w:noProof/>
          <w:sz w:val="16"/>
          <w:szCs w:val="16"/>
          <w:highlight w:val="yellow"/>
          <w:lang w:eastAsia="en-US"/>
        </w:rPr>
      </w:pPr>
    </w:p>
    <w:p w:rsidR="00477A09" w:rsidRPr="00525CE5" w:rsidRDefault="00477A09" w:rsidP="003F58D5">
      <w:pPr>
        <w:pStyle w:val="HTML-wstpniesformatowany"/>
        <w:shd w:val="clear" w:color="auto" w:fill="FFFFFF"/>
        <w:spacing w:line="276" w:lineRule="auto"/>
        <w:rPr>
          <w:rFonts w:ascii="Times New Roman" w:hAnsi="Times New Roman" w:cs="Times New Roman"/>
          <w:b/>
          <w:color w:val="000000"/>
          <w:sz w:val="24"/>
          <w:szCs w:val="24"/>
        </w:rPr>
      </w:pPr>
      <w:r w:rsidRPr="00525CE5">
        <w:rPr>
          <w:rFonts w:ascii="Times New Roman" w:hAnsi="Times New Roman" w:cs="Times New Roman"/>
          <w:b/>
          <w:color w:val="000000"/>
          <w:sz w:val="24"/>
          <w:szCs w:val="24"/>
        </w:rPr>
        <w:t>Wyniki i dyskusja</w:t>
      </w:r>
    </w:p>
    <w:p w:rsidR="004721EE" w:rsidRDefault="004721EE" w:rsidP="00E22BA8">
      <w:pPr>
        <w:spacing w:line="276" w:lineRule="auto"/>
        <w:ind w:firstLine="709"/>
        <w:jc w:val="both"/>
        <w:rPr>
          <w:sz w:val="22"/>
        </w:rPr>
      </w:pPr>
      <w:r w:rsidRPr="004721EE">
        <w:rPr>
          <w:sz w:val="22"/>
        </w:rPr>
        <w:t xml:space="preserve">W praktyce hodowlanej korzystne jest łączenie genów odporności. Kumulacja genów odporności (łączenie genów nadających odporność na różne patogeny) zapewnia odporność na szerokie spektrum szkodników. Natomiast piramidyzacja genów odporności (łączenie genów nadających odporność na ten sam patotyp) utrudnia powstawanie wirulentnych ras patogenów.  Wybrane na podstawie amplifikacji markerów genów </w:t>
      </w:r>
      <w:r w:rsidRPr="004721EE">
        <w:rPr>
          <w:i/>
          <w:sz w:val="22"/>
        </w:rPr>
        <w:t>H1</w:t>
      </w:r>
      <w:r w:rsidRPr="004721EE">
        <w:rPr>
          <w:sz w:val="22"/>
        </w:rPr>
        <w:t xml:space="preserve">, </w:t>
      </w:r>
      <w:r w:rsidRPr="004721EE">
        <w:rPr>
          <w:i/>
          <w:sz w:val="22"/>
        </w:rPr>
        <w:t>Gro1-4</w:t>
      </w:r>
      <w:r w:rsidRPr="004721EE">
        <w:rPr>
          <w:sz w:val="22"/>
        </w:rPr>
        <w:t xml:space="preserve"> i </w:t>
      </w:r>
      <w:r w:rsidRPr="004721EE">
        <w:rPr>
          <w:i/>
          <w:sz w:val="22"/>
        </w:rPr>
        <w:t>GpaV</w:t>
      </w:r>
      <w:r w:rsidRPr="004721EE">
        <w:rPr>
          <w:i/>
          <w:sz w:val="22"/>
          <w:vertAlign w:val="subscript"/>
        </w:rPr>
        <w:t>vrn</w:t>
      </w:r>
      <w:r w:rsidRPr="004721EE">
        <w:rPr>
          <w:sz w:val="22"/>
        </w:rPr>
        <w:t xml:space="preserve"> klony tetraploidalne, charakteryzujące się odpornością n apatotypy Pa2,3 </w:t>
      </w:r>
      <w:r w:rsidRPr="004721EE">
        <w:rPr>
          <w:i/>
          <w:sz w:val="22"/>
        </w:rPr>
        <w:t>G. pallida</w:t>
      </w:r>
      <w:r w:rsidRPr="004721EE">
        <w:rPr>
          <w:sz w:val="22"/>
        </w:rPr>
        <w:t xml:space="preserve">,  przetestowano pod kątem odporności na wszystkie patotypy </w:t>
      </w:r>
      <w:r w:rsidRPr="004721EE">
        <w:rPr>
          <w:i/>
          <w:iCs/>
          <w:sz w:val="22"/>
        </w:rPr>
        <w:t>G. rostochiensis</w:t>
      </w:r>
      <w:r w:rsidRPr="004721EE">
        <w:rPr>
          <w:sz w:val="22"/>
        </w:rPr>
        <w:t xml:space="preserve">. Spośród 50 klonów tetraploidalnych, przetestowanych pod kątem odporności na patotypy </w:t>
      </w:r>
      <w:r w:rsidRPr="004721EE">
        <w:rPr>
          <w:i/>
          <w:sz w:val="22"/>
        </w:rPr>
        <w:t>G. rostochiensis</w:t>
      </w:r>
      <w:r w:rsidRPr="004721EE">
        <w:rPr>
          <w:sz w:val="22"/>
        </w:rPr>
        <w:t xml:space="preserve"> 48 było odpornych na patotyp Ro1, 36 klonów było odpornych na patotyp Ro2, 48 było odpornych na patotyp Ro3, 46 klonów było odpornych na patotyp Ro4 a 32 klony wykazały się odpornością na patotyp Ro5. </w:t>
      </w:r>
      <w:r>
        <w:rPr>
          <w:noProof w:val="0"/>
          <w:sz w:val="22"/>
        </w:rPr>
        <w:t xml:space="preserve">31 spośród badanych klonów charakteryzowało się odpornością na wszystkie patotypy </w:t>
      </w:r>
      <w:r w:rsidRPr="00DC635D">
        <w:rPr>
          <w:i/>
          <w:noProof w:val="0"/>
          <w:sz w:val="22"/>
        </w:rPr>
        <w:t>G. rostochiensis</w:t>
      </w:r>
      <w:r>
        <w:rPr>
          <w:noProof w:val="0"/>
          <w:sz w:val="22"/>
        </w:rPr>
        <w:t xml:space="preserve">. </w:t>
      </w:r>
      <w:r w:rsidRPr="004721EE">
        <w:rPr>
          <w:sz w:val="22"/>
        </w:rPr>
        <w:t xml:space="preserve">Wyselekcjonowane klony, pochodzące z krzyżowań łączących odporność na </w:t>
      </w:r>
      <w:r w:rsidRPr="004721EE">
        <w:rPr>
          <w:i/>
          <w:sz w:val="22"/>
        </w:rPr>
        <w:t>G. rostochiensis</w:t>
      </w:r>
      <w:r w:rsidRPr="004721EE">
        <w:rPr>
          <w:sz w:val="22"/>
        </w:rPr>
        <w:t xml:space="preserve"> z odpornością na </w:t>
      </w:r>
      <w:r w:rsidRPr="004721EE">
        <w:rPr>
          <w:i/>
          <w:sz w:val="22"/>
        </w:rPr>
        <w:t>G. pallida</w:t>
      </w:r>
      <w:r w:rsidRPr="004721EE">
        <w:rPr>
          <w:sz w:val="22"/>
        </w:rPr>
        <w:t xml:space="preserve">, łączące geny </w:t>
      </w:r>
      <w:r w:rsidRPr="004721EE">
        <w:rPr>
          <w:i/>
          <w:sz w:val="22"/>
        </w:rPr>
        <w:t>H1</w:t>
      </w:r>
      <w:r w:rsidRPr="004721EE">
        <w:rPr>
          <w:sz w:val="22"/>
        </w:rPr>
        <w:t xml:space="preserve">, </w:t>
      </w:r>
      <w:r w:rsidRPr="004721EE">
        <w:rPr>
          <w:i/>
          <w:sz w:val="22"/>
        </w:rPr>
        <w:t>Gro1-4</w:t>
      </w:r>
      <w:r w:rsidRPr="004721EE">
        <w:rPr>
          <w:sz w:val="22"/>
        </w:rPr>
        <w:t xml:space="preserve"> i </w:t>
      </w:r>
      <w:r w:rsidRPr="004721EE">
        <w:rPr>
          <w:i/>
          <w:sz w:val="22"/>
        </w:rPr>
        <w:t>GpaV</w:t>
      </w:r>
      <w:r w:rsidRPr="004721EE">
        <w:rPr>
          <w:i/>
          <w:sz w:val="22"/>
          <w:vertAlign w:val="subscript"/>
        </w:rPr>
        <w:t>vrn</w:t>
      </w:r>
      <w:r w:rsidRPr="004721EE">
        <w:rPr>
          <w:sz w:val="22"/>
        </w:rPr>
        <w:t xml:space="preserve"> stanowią grupę materiałów na której zbadana zostanie zależność pomiędzy kumulacją genów odporności na mątwiki a jakością plonu ziemniaka. </w:t>
      </w:r>
    </w:p>
    <w:p w:rsidR="004721EE" w:rsidRDefault="004721EE" w:rsidP="00E22BA8">
      <w:pPr>
        <w:tabs>
          <w:tab w:val="left" w:pos="0"/>
        </w:tabs>
        <w:spacing w:line="276" w:lineRule="auto"/>
        <w:ind w:firstLine="720"/>
        <w:jc w:val="both"/>
        <w:rPr>
          <w:noProof w:val="0"/>
          <w:sz w:val="22"/>
          <w:szCs w:val="22"/>
        </w:rPr>
      </w:pPr>
      <w:r w:rsidRPr="00BD055A">
        <w:rPr>
          <w:noProof w:val="0"/>
          <w:sz w:val="22"/>
          <w:szCs w:val="22"/>
        </w:rPr>
        <w:t xml:space="preserve">Ocena plonowania klonów tetraploidalnych, uzyskanych w wyniku krzyżowań form </w:t>
      </w:r>
      <w:r>
        <w:rPr>
          <w:noProof w:val="0"/>
          <w:sz w:val="22"/>
          <w:szCs w:val="22"/>
        </w:rPr>
        <w:br/>
      </w:r>
      <w:r w:rsidRPr="00BD055A">
        <w:rPr>
          <w:noProof w:val="0"/>
          <w:sz w:val="22"/>
          <w:szCs w:val="22"/>
        </w:rPr>
        <w:t xml:space="preserve">o złożonej odporności na </w:t>
      </w:r>
      <w:r w:rsidRPr="00BD055A">
        <w:rPr>
          <w:i/>
          <w:noProof w:val="0"/>
          <w:sz w:val="22"/>
          <w:szCs w:val="22"/>
        </w:rPr>
        <w:t>Globodera</w:t>
      </w:r>
      <w:r w:rsidRPr="00BD055A">
        <w:rPr>
          <w:noProof w:val="0"/>
          <w:sz w:val="22"/>
          <w:szCs w:val="22"/>
        </w:rPr>
        <w:t xml:space="preserve"> </w:t>
      </w:r>
      <w:proofErr w:type="spellStart"/>
      <w:r w:rsidRPr="00BD055A">
        <w:rPr>
          <w:noProof w:val="0"/>
          <w:sz w:val="22"/>
          <w:szCs w:val="22"/>
        </w:rPr>
        <w:t>spp</w:t>
      </w:r>
      <w:proofErr w:type="spellEnd"/>
      <w:r w:rsidRPr="00BD055A">
        <w:rPr>
          <w:noProof w:val="0"/>
          <w:sz w:val="22"/>
          <w:szCs w:val="22"/>
        </w:rPr>
        <w:t xml:space="preserve">., wskazuje na porównywalny poziom ich plonu bulw i plonu skrobi w porównaniu do wykorzystanych w doświadczeniu odmian wzorcowych. </w:t>
      </w:r>
      <w:r>
        <w:rPr>
          <w:noProof w:val="0"/>
          <w:sz w:val="22"/>
          <w:szCs w:val="22"/>
        </w:rPr>
        <w:t>Również cechy morfologii bulw badanych klonów były na poziomie porównywalnym do wartości uzyskanych dla odmian wzorcowych.</w:t>
      </w:r>
    </w:p>
    <w:p w:rsidR="004721EE" w:rsidRDefault="004721EE" w:rsidP="00E22BA8">
      <w:pPr>
        <w:tabs>
          <w:tab w:val="left" w:pos="567"/>
        </w:tabs>
        <w:spacing w:line="276" w:lineRule="auto"/>
        <w:ind w:firstLine="720"/>
        <w:jc w:val="both"/>
        <w:rPr>
          <w:noProof w:val="0"/>
          <w:sz w:val="22"/>
          <w:szCs w:val="22"/>
        </w:rPr>
      </w:pPr>
      <w:r w:rsidRPr="00481FB8">
        <w:rPr>
          <w:noProof w:val="0"/>
          <w:sz w:val="22"/>
          <w:szCs w:val="22"/>
        </w:rPr>
        <w:t>Przeprowadzono porównanie średnich wartości cech pomiędzy grupą klonów charakteryzujących się</w:t>
      </w:r>
      <w:r>
        <w:rPr>
          <w:noProof w:val="0"/>
          <w:sz w:val="22"/>
          <w:szCs w:val="22"/>
        </w:rPr>
        <w:t xml:space="preserve"> amplifikacją markerów genów </w:t>
      </w:r>
      <w:r w:rsidRPr="00A56B7D">
        <w:rPr>
          <w:i/>
          <w:noProof w:val="0"/>
          <w:sz w:val="22"/>
          <w:szCs w:val="22"/>
        </w:rPr>
        <w:t>H1</w:t>
      </w:r>
      <w:r>
        <w:rPr>
          <w:noProof w:val="0"/>
          <w:sz w:val="22"/>
          <w:szCs w:val="22"/>
        </w:rPr>
        <w:t xml:space="preserve">, </w:t>
      </w:r>
      <w:r w:rsidRPr="00A56B7D">
        <w:rPr>
          <w:i/>
          <w:noProof w:val="0"/>
          <w:sz w:val="22"/>
          <w:szCs w:val="22"/>
        </w:rPr>
        <w:t>Gro1-4</w:t>
      </w:r>
      <w:r>
        <w:rPr>
          <w:noProof w:val="0"/>
          <w:sz w:val="22"/>
          <w:szCs w:val="22"/>
        </w:rPr>
        <w:t xml:space="preserve"> i </w:t>
      </w:r>
      <w:proofErr w:type="spellStart"/>
      <w:r w:rsidRPr="00A56B7D">
        <w:rPr>
          <w:i/>
          <w:noProof w:val="0"/>
          <w:sz w:val="22"/>
          <w:szCs w:val="22"/>
        </w:rPr>
        <w:t>GpaV</w:t>
      </w:r>
      <w:r w:rsidRPr="00A56B7D">
        <w:rPr>
          <w:i/>
          <w:noProof w:val="0"/>
          <w:sz w:val="22"/>
          <w:szCs w:val="22"/>
          <w:vertAlign w:val="subscript"/>
        </w:rPr>
        <w:t>vrn</w:t>
      </w:r>
      <w:proofErr w:type="spellEnd"/>
      <w:r>
        <w:rPr>
          <w:noProof w:val="0"/>
          <w:sz w:val="22"/>
          <w:szCs w:val="22"/>
        </w:rPr>
        <w:t xml:space="preserve">. Klony posiadające wszystkie markery charakteryzowały się najwyższym plonem bulw. Badane klony nie wykazywały zróżnicowania w ramach pozostałych badanych cech. </w:t>
      </w:r>
      <w:r w:rsidRPr="00BD055A">
        <w:rPr>
          <w:noProof w:val="0"/>
          <w:sz w:val="22"/>
          <w:szCs w:val="22"/>
        </w:rPr>
        <w:t xml:space="preserve">Klony posiadające markery HC, Gro1-4 i 57R charakteryzowały się dobrym poziomem cech agronomicznych, co wskazuje na możliwość wytypowania spośród populacji tetraploidalnych klonów o dobrym poziomie badanych cech połączonych z odpornością na patotypy Ro1, Ro4 i Ro5 </w:t>
      </w:r>
      <w:r w:rsidRPr="00BD055A">
        <w:rPr>
          <w:i/>
          <w:noProof w:val="0"/>
          <w:sz w:val="22"/>
          <w:szCs w:val="22"/>
        </w:rPr>
        <w:t>G. rostochiensis</w:t>
      </w:r>
      <w:r w:rsidRPr="00BD055A">
        <w:rPr>
          <w:noProof w:val="0"/>
          <w:sz w:val="22"/>
          <w:szCs w:val="22"/>
        </w:rPr>
        <w:t xml:space="preserve"> oraz Pa2/3 </w:t>
      </w:r>
      <w:r w:rsidRPr="00BD055A">
        <w:rPr>
          <w:i/>
          <w:noProof w:val="0"/>
          <w:sz w:val="22"/>
          <w:szCs w:val="22"/>
        </w:rPr>
        <w:t>G. pallida</w:t>
      </w:r>
      <w:r w:rsidRPr="00BD055A">
        <w:rPr>
          <w:noProof w:val="0"/>
          <w:sz w:val="22"/>
          <w:szCs w:val="22"/>
        </w:rPr>
        <w:t>.</w:t>
      </w:r>
      <w:r>
        <w:rPr>
          <w:noProof w:val="0"/>
          <w:sz w:val="22"/>
          <w:szCs w:val="22"/>
        </w:rPr>
        <w:t xml:space="preserve"> </w:t>
      </w:r>
    </w:p>
    <w:p w:rsidR="00EB1155" w:rsidRPr="00BD055A" w:rsidRDefault="004721EE" w:rsidP="00E22BA8">
      <w:pPr>
        <w:tabs>
          <w:tab w:val="left" w:pos="426"/>
        </w:tabs>
        <w:spacing w:line="276" w:lineRule="auto"/>
        <w:ind w:firstLine="720"/>
        <w:jc w:val="both"/>
        <w:rPr>
          <w:noProof w:val="0"/>
          <w:sz w:val="22"/>
          <w:szCs w:val="22"/>
        </w:rPr>
      </w:pPr>
      <w:r w:rsidRPr="00BD055A">
        <w:rPr>
          <w:noProof w:val="0"/>
          <w:sz w:val="22"/>
          <w:szCs w:val="22"/>
        </w:rPr>
        <w:t xml:space="preserve">Prezentowana praca wskazuje na możliwość kreowania materiałów hodowlanych </w:t>
      </w:r>
      <w:r>
        <w:rPr>
          <w:noProof w:val="0"/>
          <w:sz w:val="22"/>
          <w:szCs w:val="22"/>
        </w:rPr>
        <w:br/>
      </w:r>
      <w:r w:rsidRPr="00BD055A">
        <w:rPr>
          <w:noProof w:val="0"/>
          <w:sz w:val="22"/>
          <w:szCs w:val="22"/>
        </w:rPr>
        <w:t xml:space="preserve">o złożonych opornościach oraz materiałów, które wnoszą odporność na  szkodniki od niedawna szerzące się w Europie, jak </w:t>
      </w:r>
      <w:r w:rsidRPr="00BD055A">
        <w:rPr>
          <w:i/>
          <w:noProof w:val="0"/>
          <w:sz w:val="22"/>
          <w:szCs w:val="22"/>
        </w:rPr>
        <w:t>G. pallida</w:t>
      </w:r>
      <w:r w:rsidRPr="00BD055A">
        <w:rPr>
          <w:noProof w:val="0"/>
          <w:sz w:val="22"/>
          <w:szCs w:val="22"/>
        </w:rPr>
        <w:t>.</w:t>
      </w:r>
      <w:r w:rsidR="00EB1155" w:rsidRPr="00EB1155">
        <w:rPr>
          <w:noProof w:val="0"/>
          <w:sz w:val="22"/>
          <w:szCs w:val="22"/>
        </w:rPr>
        <w:t xml:space="preserve"> </w:t>
      </w:r>
      <w:r w:rsidR="00EB1155">
        <w:rPr>
          <w:noProof w:val="0"/>
          <w:sz w:val="22"/>
          <w:szCs w:val="22"/>
        </w:rPr>
        <w:t xml:space="preserve">Ponadto wyselekcjonowano </w:t>
      </w:r>
      <w:r w:rsidR="00EB1155" w:rsidRPr="008D7A9F">
        <w:rPr>
          <w:noProof w:val="0"/>
          <w:sz w:val="22"/>
          <w:szCs w:val="22"/>
        </w:rPr>
        <w:t>6 klonów</w:t>
      </w:r>
      <w:r w:rsidR="00EB1155">
        <w:rPr>
          <w:noProof w:val="0"/>
          <w:sz w:val="22"/>
          <w:szCs w:val="22"/>
        </w:rPr>
        <w:t xml:space="preserve"> łączących odporność na patotypy mątwika ziemniaczanego i agresywnego z odpornością na wirus Y ziemniaka i na raka ziemniaka (potwierdzone amplifikacja markerów genów odporności: </w:t>
      </w:r>
      <w:r w:rsidR="00EB1155" w:rsidRPr="00A56B7D">
        <w:rPr>
          <w:i/>
          <w:noProof w:val="0"/>
          <w:sz w:val="22"/>
          <w:szCs w:val="22"/>
        </w:rPr>
        <w:t>H1</w:t>
      </w:r>
      <w:r w:rsidR="00EB1155">
        <w:rPr>
          <w:noProof w:val="0"/>
          <w:sz w:val="22"/>
          <w:szCs w:val="22"/>
        </w:rPr>
        <w:t xml:space="preserve">, </w:t>
      </w:r>
      <w:r w:rsidR="00EB1155" w:rsidRPr="00A56B7D">
        <w:rPr>
          <w:i/>
          <w:noProof w:val="0"/>
          <w:sz w:val="22"/>
          <w:szCs w:val="22"/>
        </w:rPr>
        <w:t>Gro1-4</w:t>
      </w:r>
      <w:r w:rsidR="00EB1155">
        <w:rPr>
          <w:noProof w:val="0"/>
          <w:sz w:val="22"/>
          <w:szCs w:val="22"/>
        </w:rPr>
        <w:t xml:space="preserve">, </w:t>
      </w:r>
      <w:proofErr w:type="spellStart"/>
      <w:r w:rsidR="00EB1155" w:rsidRPr="00A56B7D">
        <w:rPr>
          <w:i/>
          <w:noProof w:val="0"/>
          <w:sz w:val="22"/>
          <w:szCs w:val="22"/>
        </w:rPr>
        <w:t>GpaV</w:t>
      </w:r>
      <w:r w:rsidR="00EB1155" w:rsidRPr="00A56B7D">
        <w:rPr>
          <w:i/>
          <w:noProof w:val="0"/>
          <w:sz w:val="22"/>
          <w:szCs w:val="22"/>
          <w:vertAlign w:val="subscript"/>
        </w:rPr>
        <w:t>vrn</w:t>
      </w:r>
      <w:proofErr w:type="spellEnd"/>
      <w:r w:rsidR="00EB1155">
        <w:rPr>
          <w:noProof w:val="0"/>
          <w:sz w:val="22"/>
          <w:szCs w:val="22"/>
        </w:rPr>
        <w:t xml:space="preserve">, </w:t>
      </w:r>
      <w:r w:rsidR="00EB1155" w:rsidRPr="00A56B7D">
        <w:rPr>
          <w:i/>
          <w:noProof w:val="0"/>
          <w:sz w:val="22"/>
          <w:szCs w:val="22"/>
        </w:rPr>
        <w:t xml:space="preserve">sen1 </w:t>
      </w:r>
      <w:r w:rsidR="00B71810">
        <w:rPr>
          <w:i/>
          <w:noProof w:val="0"/>
          <w:sz w:val="22"/>
          <w:szCs w:val="22"/>
        </w:rPr>
        <w:br/>
      </w:r>
      <w:r w:rsidR="00EB1155">
        <w:rPr>
          <w:noProof w:val="0"/>
          <w:sz w:val="22"/>
          <w:szCs w:val="22"/>
        </w:rPr>
        <w:t xml:space="preserve">i </w:t>
      </w:r>
      <w:proofErr w:type="spellStart"/>
      <w:r w:rsidR="00EB1155" w:rsidRPr="00A54531">
        <w:rPr>
          <w:rFonts w:eastAsiaTheme="minorHAnsi"/>
          <w:i/>
          <w:iCs/>
          <w:noProof w:val="0"/>
          <w:sz w:val="22"/>
          <w:szCs w:val="22"/>
        </w:rPr>
        <w:t>Ry-f</w:t>
      </w:r>
      <w:r w:rsidR="00EB1155" w:rsidRPr="00A54531">
        <w:rPr>
          <w:rFonts w:eastAsiaTheme="minorHAnsi"/>
          <w:i/>
          <w:iCs/>
          <w:noProof w:val="0"/>
          <w:sz w:val="22"/>
          <w:szCs w:val="22"/>
          <w:vertAlign w:val="subscript"/>
        </w:rPr>
        <w:t>sto</w:t>
      </w:r>
      <w:proofErr w:type="spellEnd"/>
      <w:r w:rsidR="00EB1155">
        <w:rPr>
          <w:noProof w:val="0"/>
          <w:sz w:val="22"/>
          <w:szCs w:val="22"/>
        </w:rPr>
        <w:t xml:space="preserve">).  </w:t>
      </w:r>
    </w:p>
    <w:p w:rsidR="00477A09" w:rsidRDefault="00477A09" w:rsidP="00E22BA8">
      <w:pPr>
        <w:spacing w:line="276" w:lineRule="auto"/>
        <w:ind w:firstLine="709"/>
        <w:jc w:val="both"/>
        <w:rPr>
          <w:sz w:val="22"/>
          <w:szCs w:val="22"/>
        </w:rPr>
      </w:pPr>
      <w:r w:rsidRPr="00203D3B">
        <w:rPr>
          <w:sz w:val="22"/>
          <w:szCs w:val="22"/>
        </w:rPr>
        <w:t xml:space="preserve">W wyniku przeprowadzenia programu krzyżowań interploidalnych uzyskano </w:t>
      </w:r>
      <w:r w:rsidR="00EB1155">
        <w:rPr>
          <w:sz w:val="22"/>
          <w:szCs w:val="22"/>
        </w:rPr>
        <w:t>55</w:t>
      </w:r>
      <w:r w:rsidRPr="00203D3B">
        <w:rPr>
          <w:sz w:val="22"/>
          <w:szCs w:val="22"/>
        </w:rPr>
        <w:t xml:space="preserve"> jagód</w:t>
      </w:r>
      <w:r w:rsidR="00EB1155">
        <w:rPr>
          <w:sz w:val="22"/>
          <w:szCs w:val="22"/>
        </w:rPr>
        <w:t xml:space="preserve">, </w:t>
      </w:r>
      <w:r w:rsidR="00EB1155">
        <w:rPr>
          <w:sz w:val="22"/>
          <w:szCs w:val="22"/>
        </w:rPr>
        <w:br/>
        <w:t>a z</w:t>
      </w:r>
      <w:r w:rsidR="00EB1155">
        <w:rPr>
          <w:noProof w:val="0"/>
          <w:sz w:val="22"/>
          <w:szCs w:val="22"/>
        </w:rPr>
        <w:t xml:space="preserve">  </w:t>
      </w:r>
      <w:r w:rsidR="00EB1155" w:rsidRPr="006B53C4">
        <w:rPr>
          <w:noProof w:val="0"/>
          <w:sz w:val="22"/>
          <w:szCs w:val="22"/>
        </w:rPr>
        <w:t xml:space="preserve">nasion </w:t>
      </w:r>
      <w:r w:rsidR="00EB1155">
        <w:rPr>
          <w:noProof w:val="0"/>
          <w:sz w:val="22"/>
          <w:szCs w:val="22"/>
        </w:rPr>
        <w:t xml:space="preserve">uzyskanych z krzyżowań </w:t>
      </w:r>
      <w:proofErr w:type="spellStart"/>
      <w:r w:rsidR="00EB1155">
        <w:rPr>
          <w:noProof w:val="0"/>
          <w:sz w:val="22"/>
          <w:szCs w:val="22"/>
        </w:rPr>
        <w:t>interploidanych</w:t>
      </w:r>
      <w:proofErr w:type="spellEnd"/>
      <w:r w:rsidR="00EB1155">
        <w:rPr>
          <w:noProof w:val="0"/>
          <w:sz w:val="22"/>
          <w:szCs w:val="22"/>
        </w:rPr>
        <w:t xml:space="preserve"> 2018</w:t>
      </w:r>
      <w:r w:rsidR="00EB1155" w:rsidRPr="006B53C4">
        <w:rPr>
          <w:noProof w:val="0"/>
          <w:sz w:val="22"/>
          <w:szCs w:val="22"/>
        </w:rPr>
        <w:t xml:space="preserve"> zebran</w:t>
      </w:r>
      <w:r w:rsidR="00EB1155">
        <w:rPr>
          <w:noProof w:val="0"/>
          <w:sz w:val="22"/>
          <w:szCs w:val="22"/>
        </w:rPr>
        <w:t>o 8 klonów, które wytworzyły</w:t>
      </w:r>
      <w:r w:rsidR="00EB1155" w:rsidRPr="006B53C4">
        <w:rPr>
          <w:noProof w:val="0"/>
          <w:sz w:val="22"/>
          <w:szCs w:val="22"/>
        </w:rPr>
        <w:t xml:space="preserve"> bulwy</w:t>
      </w:r>
      <w:r w:rsidR="00EB1155">
        <w:rPr>
          <w:noProof w:val="0"/>
          <w:sz w:val="22"/>
          <w:szCs w:val="22"/>
        </w:rPr>
        <w:t xml:space="preserve">. </w:t>
      </w:r>
      <w:r w:rsidR="00EB1155">
        <w:rPr>
          <w:sz w:val="22"/>
          <w:szCs w:val="22"/>
        </w:rPr>
        <w:t>W</w:t>
      </w:r>
      <w:r w:rsidRPr="00203D3B">
        <w:rPr>
          <w:sz w:val="22"/>
          <w:szCs w:val="22"/>
        </w:rPr>
        <w:t xml:space="preserve">skazuje </w:t>
      </w:r>
      <w:r w:rsidR="00EB1155">
        <w:rPr>
          <w:sz w:val="22"/>
          <w:szCs w:val="22"/>
        </w:rPr>
        <w:t xml:space="preserve">to </w:t>
      </w:r>
      <w:r w:rsidRPr="00203D3B">
        <w:rPr>
          <w:sz w:val="22"/>
          <w:szCs w:val="22"/>
        </w:rPr>
        <w:t xml:space="preserve">na możliwość wprowadzenia odporności z </w:t>
      </w:r>
      <w:r w:rsidRPr="00203D3B">
        <w:rPr>
          <w:i/>
          <w:sz w:val="22"/>
          <w:szCs w:val="22"/>
        </w:rPr>
        <w:t>Solanum gourlayi</w:t>
      </w:r>
      <w:r w:rsidRPr="00203D3B">
        <w:rPr>
          <w:sz w:val="22"/>
          <w:szCs w:val="22"/>
        </w:rPr>
        <w:t xml:space="preserve"> na poziom tetraploidalny.</w:t>
      </w:r>
    </w:p>
    <w:p w:rsidR="00E22BA8" w:rsidRDefault="00E22BA8" w:rsidP="00B71810">
      <w:pPr>
        <w:spacing w:line="276" w:lineRule="auto"/>
        <w:ind w:firstLine="709"/>
        <w:jc w:val="both"/>
      </w:pPr>
      <w:r w:rsidRPr="008E36BF">
        <w:rPr>
          <w:noProof w:val="0"/>
          <w:sz w:val="22"/>
          <w:szCs w:val="22"/>
        </w:rPr>
        <w:t xml:space="preserve">Gatunek </w:t>
      </w:r>
      <w:r w:rsidRPr="008E36BF">
        <w:rPr>
          <w:i/>
          <w:noProof w:val="0"/>
          <w:sz w:val="22"/>
          <w:szCs w:val="22"/>
        </w:rPr>
        <w:t>S. gourlayi</w:t>
      </w:r>
      <w:r w:rsidRPr="008E36BF">
        <w:rPr>
          <w:noProof w:val="0"/>
          <w:sz w:val="22"/>
          <w:szCs w:val="22"/>
        </w:rPr>
        <w:t xml:space="preserve"> (</w:t>
      </w:r>
      <w:proofErr w:type="spellStart"/>
      <w:r w:rsidRPr="008E36BF">
        <w:rPr>
          <w:i/>
          <w:noProof w:val="0"/>
          <w:sz w:val="22"/>
          <w:szCs w:val="22"/>
        </w:rPr>
        <w:t>grl</w:t>
      </w:r>
      <w:proofErr w:type="spellEnd"/>
      <w:r w:rsidRPr="008E36BF">
        <w:rPr>
          <w:noProof w:val="0"/>
          <w:sz w:val="22"/>
          <w:szCs w:val="22"/>
        </w:rPr>
        <w:t xml:space="preserve">) jest jednym z dzikich diploidalnych gatunków </w:t>
      </w:r>
      <w:r w:rsidRPr="008E36BF">
        <w:rPr>
          <w:i/>
          <w:noProof w:val="0"/>
          <w:sz w:val="22"/>
          <w:szCs w:val="22"/>
        </w:rPr>
        <w:t>Solanum</w:t>
      </w:r>
      <w:r w:rsidRPr="008E36BF">
        <w:rPr>
          <w:noProof w:val="0"/>
          <w:sz w:val="22"/>
          <w:szCs w:val="22"/>
        </w:rPr>
        <w:t xml:space="preserve"> wykazującym, odporność na </w:t>
      </w:r>
      <w:r w:rsidRPr="008E36BF">
        <w:rPr>
          <w:i/>
          <w:noProof w:val="0"/>
          <w:sz w:val="22"/>
          <w:szCs w:val="22"/>
        </w:rPr>
        <w:t>Globodera pallida</w:t>
      </w:r>
      <w:r w:rsidRPr="008E36BF">
        <w:rPr>
          <w:noProof w:val="0"/>
          <w:sz w:val="22"/>
          <w:szCs w:val="22"/>
        </w:rPr>
        <w:t xml:space="preserve">. </w:t>
      </w:r>
      <w:r w:rsidR="00B71810">
        <w:rPr>
          <w:noProof w:val="0"/>
          <w:sz w:val="22"/>
          <w:szCs w:val="22"/>
        </w:rPr>
        <w:t>W</w:t>
      </w:r>
      <w:r>
        <w:t xml:space="preserve"> puli genetycznej </w:t>
      </w:r>
      <w:r w:rsidRPr="00610C44">
        <w:rPr>
          <w:i/>
        </w:rPr>
        <w:t>S. gourlayi</w:t>
      </w:r>
      <w:r w:rsidRPr="00610C44">
        <w:t xml:space="preserve"> stwierdz</w:t>
      </w:r>
      <w:r w:rsidR="00B71810">
        <w:t>ono</w:t>
      </w:r>
      <w:r w:rsidRPr="00610C44">
        <w:t xml:space="preserve"> obecność </w:t>
      </w:r>
      <w:r>
        <w:t xml:space="preserve">form </w:t>
      </w:r>
      <w:r w:rsidRPr="00610C44">
        <w:t xml:space="preserve">zarówno odpornych jak i podatnych na </w:t>
      </w:r>
      <w:r w:rsidRPr="00610C44">
        <w:rPr>
          <w:i/>
        </w:rPr>
        <w:t>G. pallida</w:t>
      </w:r>
      <w:r w:rsidRPr="00610C44">
        <w:t>.</w:t>
      </w:r>
      <w:r>
        <w:t xml:space="preserve"> </w:t>
      </w:r>
      <w:r w:rsidRPr="008E36BF">
        <w:rPr>
          <w:noProof w:val="0"/>
          <w:sz w:val="22"/>
          <w:szCs w:val="22"/>
        </w:rPr>
        <w:t>Podłoże genetyczne tej odporności nie zostało jak dotąd ustalo</w:t>
      </w:r>
      <w:r w:rsidRPr="00850B66">
        <w:rPr>
          <w:noProof w:val="0"/>
          <w:sz w:val="22"/>
          <w:szCs w:val="22"/>
        </w:rPr>
        <w:t xml:space="preserve">ne. Do mapowania genów odporności wykorzystuje się diploidalne populacje mapujące, które uzyskuje się poprzez krzyżowanie formy odpornej z formą </w:t>
      </w:r>
      <w:r w:rsidRPr="00850B66">
        <w:rPr>
          <w:noProof w:val="0"/>
          <w:sz w:val="22"/>
          <w:szCs w:val="22"/>
        </w:rPr>
        <w:lastRenderedPageBreak/>
        <w:t>podatną</w:t>
      </w:r>
      <w:r w:rsidR="00B71810">
        <w:rPr>
          <w:noProof w:val="0"/>
          <w:sz w:val="22"/>
          <w:szCs w:val="22"/>
        </w:rPr>
        <w:t>.</w:t>
      </w:r>
      <w:r w:rsidRPr="00850B66">
        <w:rPr>
          <w:noProof w:val="0"/>
          <w:sz w:val="22"/>
          <w:szCs w:val="22"/>
        </w:rPr>
        <w:t xml:space="preserve"> </w:t>
      </w:r>
      <w:r>
        <w:rPr>
          <w:noProof w:val="0"/>
          <w:sz w:val="22"/>
          <w:szCs w:val="22"/>
        </w:rPr>
        <w:t xml:space="preserve">W ramach tematu przeprowadzono krzyżowania diploidalnej formy </w:t>
      </w:r>
      <w:r w:rsidR="00B71810">
        <w:rPr>
          <w:noProof w:val="0"/>
          <w:sz w:val="22"/>
          <w:szCs w:val="22"/>
        </w:rPr>
        <w:br/>
      </w:r>
      <w:r w:rsidRPr="008E36BF">
        <w:rPr>
          <w:i/>
          <w:noProof w:val="0"/>
          <w:sz w:val="22"/>
          <w:szCs w:val="22"/>
        </w:rPr>
        <w:t>S. gourlayi</w:t>
      </w:r>
      <w:r>
        <w:rPr>
          <w:i/>
          <w:noProof w:val="0"/>
          <w:sz w:val="22"/>
          <w:szCs w:val="22"/>
        </w:rPr>
        <w:t xml:space="preserve"> </w:t>
      </w:r>
      <w:r>
        <w:rPr>
          <w:noProof w:val="0"/>
          <w:sz w:val="22"/>
          <w:szCs w:val="22"/>
        </w:rPr>
        <w:t xml:space="preserve">(formy Sg) odpornej na patotypy Pa2 i Pa3 </w:t>
      </w:r>
      <w:r w:rsidRPr="00567502">
        <w:rPr>
          <w:i/>
          <w:noProof w:val="0"/>
          <w:sz w:val="22"/>
          <w:szCs w:val="22"/>
        </w:rPr>
        <w:t>G. pallida</w:t>
      </w:r>
      <w:r>
        <w:rPr>
          <w:noProof w:val="0"/>
          <w:sz w:val="22"/>
          <w:szCs w:val="22"/>
        </w:rPr>
        <w:t xml:space="preserve"> z diploidalną formą podatną </w:t>
      </w:r>
      <w:r w:rsidR="00B71810">
        <w:rPr>
          <w:noProof w:val="0"/>
          <w:sz w:val="22"/>
          <w:szCs w:val="22"/>
        </w:rPr>
        <w:br/>
      </w:r>
      <w:r>
        <w:rPr>
          <w:noProof w:val="0"/>
          <w:sz w:val="22"/>
          <w:szCs w:val="22"/>
        </w:rPr>
        <w:t xml:space="preserve">DW 94-4235 uzyskując populację, która posłużyła do stworzenia mapy genetycznej </w:t>
      </w:r>
      <w:r>
        <w:rPr>
          <w:noProof w:val="0"/>
          <w:sz w:val="22"/>
          <w:szCs w:val="22"/>
        </w:rPr>
        <w:br/>
        <w:t xml:space="preserve">z wykorzystaniem markerów </w:t>
      </w:r>
      <w:r>
        <w:t>DArTseq. Uzyskana mapa genetyczna liczy 1316 loci i mierzy łącznie 1021 cM. Na podstawie utworzonej mapy przeprowadzono analizę QTL dla odporności na patotypy Pa2 i Pa3 mątwika agresywnego (</w:t>
      </w:r>
      <w:r w:rsidRPr="00EE4D5D">
        <w:rPr>
          <w:i/>
        </w:rPr>
        <w:t>G. pallida</w:t>
      </w:r>
      <w:r>
        <w:t xml:space="preserve">). </w:t>
      </w:r>
      <w:r w:rsidRPr="00EE4D5D">
        <w:t xml:space="preserve">Analiza została przeprowadzona osobno dla każdego zbioru danych (liczba cyst i ocena odporności w latach) oraz na wartościach średnich a następnie porównano uzyskane wyniki. </w:t>
      </w:r>
      <w:r w:rsidRPr="006D0BCE">
        <w:t xml:space="preserve">Dla danych dotyczących odporności na mątwika agresywnego patotyp Pa2 wyznaczono 69 pozycji </w:t>
      </w:r>
      <w:r>
        <w:br/>
      </w:r>
      <w:r w:rsidRPr="006D0BCE">
        <w:t xml:space="preserve">o LOD &gt; 3, na chromosomach II, V, VIII, IX, X, XI i XII. Żadna z tych lokalizacji nie była jednak powtarzalna w latach. Dla danych dotyczących odporności na mątwika agresywnego patotyp Pa3 wyznaczono 212 pozycji o LOD &gt; 3, na chromosomach IV, V, VI, VII, X, XI </w:t>
      </w:r>
      <w:r>
        <w:br/>
      </w:r>
      <w:r w:rsidRPr="006D0BCE">
        <w:t>i XII. Powtarzalne w latach, ocenie vs liczbie cyst, był</w:t>
      </w:r>
      <w:r>
        <w:t>o 5</w:t>
      </w:r>
      <w:r w:rsidRPr="006D0BCE">
        <w:t xml:space="preserve"> lokalizacj</w:t>
      </w:r>
      <w:r>
        <w:t>i</w:t>
      </w:r>
      <w:r w:rsidRPr="006D0BCE">
        <w:t xml:space="preserve"> uzyskan</w:t>
      </w:r>
      <w:r>
        <w:t>ch</w:t>
      </w:r>
      <w:r w:rsidRPr="006D0BCE">
        <w:t xml:space="preserve"> dla chromosomu XI</w:t>
      </w:r>
      <w:r>
        <w:t xml:space="preserve">. Lokalizacje 13,21 i 13,211cM oraz lokalizacje 14,211 i 14,219 cM mogą być tożsame – tak niewielkie różnice umiejscowienia na chromosomie (3-cie miejsce po przecinku) mogą być wynikiem braku danych dla jednego analizowanego klonu, dla jednego spośród analizowanych 1434 markerów DArTseq wykorzystanych do konstrukcji mapy genetycznej. Uzyskane wyniki wskazują, że badana cecha (odporność na </w:t>
      </w:r>
      <w:r w:rsidRPr="00970346">
        <w:rPr>
          <w:i/>
        </w:rPr>
        <w:t>G. pallida</w:t>
      </w:r>
      <w:r>
        <w:t xml:space="preserve">) jest warunkowana wieloma genami o sumujących się efektach. Różne wyniki uzyskane w latach sugerują natomiast modyfikujący wpływ środowiska na tą cechę. </w:t>
      </w:r>
    </w:p>
    <w:p w:rsidR="004721EE" w:rsidRPr="00203D3B" w:rsidRDefault="00E22BA8" w:rsidP="00E22BA8">
      <w:pPr>
        <w:spacing w:line="276" w:lineRule="auto"/>
        <w:ind w:firstLine="709"/>
        <w:jc w:val="both"/>
        <w:rPr>
          <w:sz w:val="22"/>
          <w:szCs w:val="22"/>
        </w:rPr>
      </w:pPr>
      <w:r w:rsidRPr="007523A7">
        <w:t>Ze względu na różnorodność genów awirulencji w populacjach nicieni</w:t>
      </w:r>
      <w:r>
        <w:t xml:space="preserve"> oznaczonych jako patotypy Pa2/Pa3</w:t>
      </w:r>
      <w:r w:rsidRPr="007523A7">
        <w:t>, jak dotąd nie udało się zidentyfikować źródła pojedynczego genu oporności, który oferuje całkowitą oporność</w:t>
      </w:r>
      <w:r>
        <w:t xml:space="preserve"> na te szkodniki</w:t>
      </w:r>
      <w:r w:rsidRPr="007523A7">
        <w:t>.</w:t>
      </w:r>
      <w:r>
        <w:t xml:space="preserve"> Zasadna jest więc piramidyzacja genów o mniejszych efektach w celu zapewnienia podniesionego poziomu odporności </w:t>
      </w:r>
      <w:r>
        <w:br/>
        <w:t xml:space="preserve">w materiałach hodowlanych. Zasadne jest również poszukiwanie nowych źródeł odpornosci </w:t>
      </w:r>
      <w:r w:rsidR="00117A75">
        <w:br/>
      </w:r>
      <w:r>
        <w:t xml:space="preserve">i włączanie ich do puli genetycznej ziemniaka uprawnego. </w:t>
      </w:r>
    </w:p>
    <w:p w:rsidR="00477A09" w:rsidRPr="003F58D5" w:rsidRDefault="00477A09" w:rsidP="00E22BA8">
      <w:pPr>
        <w:pStyle w:val="HTML-wstpniesformatowany"/>
        <w:shd w:val="clear" w:color="auto" w:fill="FFFFFF"/>
        <w:spacing w:line="276" w:lineRule="auto"/>
        <w:rPr>
          <w:rFonts w:ascii="Times New Roman" w:hAnsi="Times New Roman" w:cs="Times New Roman"/>
          <w:b/>
          <w:color w:val="000000"/>
          <w:sz w:val="16"/>
          <w:szCs w:val="16"/>
        </w:rPr>
      </w:pPr>
    </w:p>
    <w:p w:rsidR="00477A09" w:rsidRPr="006067DD" w:rsidRDefault="00477A09" w:rsidP="003F58D5">
      <w:pPr>
        <w:pStyle w:val="HTML-wstpniesformatowany"/>
        <w:shd w:val="clear" w:color="auto" w:fill="FFFFFF"/>
        <w:spacing w:line="276" w:lineRule="auto"/>
        <w:rPr>
          <w:rFonts w:ascii="Times New Roman" w:hAnsi="Times New Roman" w:cs="Times New Roman"/>
          <w:b/>
          <w:color w:val="000000"/>
          <w:sz w:val="24"/>
          <w:szCs w:val="24"/>
        </w:rPr>
      </w:pPr>
      <w:r w:rsidRPr="006067DD">
        <w:rPr>
          <w:rFonts w:ascii="Times New Roman" w:hAnsi="Times New Roman" w:cs="Times New Roman"/>
          <w:b/>
          <w:color w:val="000000"/>
          <w:sz w:val="24"/>
          <w:szCs w:val="24"/>
        </w:rPr>
        <w:t>Wnioski</w:t>
      </w:r>
    </w:p>
    <w:p w:rsidR="004721EE" w:rsidRPr="006869D7" w:rsidRDefault="004721EE" w:rsidP="00E22BA8">
      <w:pPr>
        <w:pStyle w:val="Tekstpodstawowywcity"/>
        <w:numPr>
          <w:ilvl w:val="0"/>
          <w:numId w:val="1"/>
        </w:numPr>
        <w:tabs>
          <w:tab w:val="clear" w:pos="1440"/>
          <w:tab w:val="num" w:pos="426"/>
        </w:tabs>
        <w:suppressAutoHyphens/>
        <w:spacing w:after="120" w:line="276" w:lineRule="auto"/>
        <w:ind w:left="426" w:hanging="357"/>
        <w:jc w:val="both"/>
        <w:rPr>
          <w:rFonts w:ascii="Times New Roman" w:hAnsi="Times New Roman" w:cs="Times New Roman"/>
          <w:noProof w:val="0"/>
          <w:sz w:val="22"/>
        </w:rPr>
      </w:pPr>
      <w:r w:rsidRPr="006869D7">
        <w:rPr>
          <w:rFonts w:ascii="Times New Roman" w:hAnsi="Times New Roman"/>
          <w:noProof w:val="0"/>
          <w:sz w:val="22"/>
        </w:rPr>
        <w:t xml:space="preserve">Ocena odporności wybranych klonów tetraploidalnych potwierdza wysoką złożoną odporność klonów pochodzących z krzyżowań </w:t>
      </w:r>
      <w:r w:rsidRPr="006869D7">
        <w:rPr>
          <w:rFonts w:ascii="Times New Roman" w:hAnsi="Times New Roman" w:cs="Times New Roman"/>
          <w:noProof w:val="0"/>
          <w:sz w:val="22"/>
          <w:szCs w:val="22"/>
        </w:rPr>
        <w:t xml:space="preserve">łączących odporność na </w:t>
      </w:r>
      <w:r w:rsidRPr="006869D7">
        <w:rPr>
          <w:rFonts w:ascii="Times New Roman" w:hAnsi="Times New Roman" w:cs="Times New Roman"/>
          <w:i/>
          <w:noProof w:val="0"/>
          <w:sz w:val="22"/>
          <w:szCs w:val="22"/>
        </w:rPr>
        <w:t>G. rostochiensis</w:t>
      </w:r>
      <w:r w:rsidRPr="006869D7">
        <w:rPr>
          <w:rFonts w:ascii="Times New Roman" w:hAnsi="Times New Roman" w:cs="Times New Roman"/>
          <w:noProof w:val="0"/>
          <w:sz w:val="22"/>
          <w:szCs w:val="22"/>
        </w:rPr>
        <w:t xml:space="preserve"> z odpornością na </w:t>
      </w:r>
      <w:r>
        <w:rPr>
          <w:rFonts w:ascii="Times New Roman" w:hAnsi="Times New Roman" w:cs="Times New Roman"/>
          <w:noProof w:val="0"/>
          <w:sz w:val="22"/>
          <w:szCs w:val="22"/>
        </w:rPr>
        <w:br/>
      </w:r>
      <w:r w:rsidRPr="006869D7">
        <w:rPr>
          <w:rFonts w:ascii="Times New Roman" w:hAnsi="Times New Roman" w:cs="Times New Roman"/>
          <w:i/>
          <w:noProof w:val="0"/>
          <w:sz w:val="22"/>
          <w:szCs w:val="22"/>
        </w:rPr>
        <w:t>G. pallida</w:t>
      </w:r>
      <w:r>
        <w:rPr>
          <w:rFonts w:ascii="Times New Roman" w:hAnsi="Times New Roman" w:cs="Times New Roman"/>
          <w:noProof w:val="0"/>
          <w:sz w:val="22"/>
          <w:szCs w:val="22"/>
        </w:rPr>
        <w:t>. Grupa wybranych klonów będzie więc mogła posłużyć do zbadania zależności pomiędzy odpornością na mątwiki a jakością bulw ziemniaka.</w:t>
      </w:r>
    </w:p>
    <w:p w:rsidR="00EB1155" w:rsidRPr="008D7A9F" w:rsidRDefault="00EB1155" w:rsidP="00E22BA8">
      <w:pPr>
        <w:pStyle w:val="Tekstpodstawowywcity"/>
        <w:numPr>
          <w:ilvl w:val="0"/>
          <w:numId w:val="1"/>
        </w:numPr>
        <w:tabs>
          <w:tab w:val="clear" w:pos="1440"/>
          <w:tab w:val="num" w:pos="1560"/>
        </w:tabs>
        <w:suppressAutoHyphens/>
        <w:spacing w:after="120" w:line="276" w:lineRule="auto"/>
        <w:ind w:left="426"/>
        <w:jc w:val="both"/>
        <w:rPr>
          <w:rFonts w:ascii="Times New Roman" w:hAnsi="Times New Roman" w:cs="Times New Roman"/>
          <w:noProof w:val="0"/>
          <w:sz w:val="22"/>
          <w:szCs w:val="22"/>
        </w:rPr>
      </w:pPr>
      <w:r w:rsidRPr="000579B8">
        <w:rPr>
          <w:rFonts w:ascii="Times New Roman" w:hAnsi="Times New Roman" w:cs="Times New Roman"/>
          <w:noProof w:val="0"/>
          <w:sz w:val="22"/>
          <w:szCs w:val="22"/>
        </w:rPr>
        <w:t xml:space="preserve">Wyniki doświadczenia polowego wskazują, że klony łączące odporności na różne patotypy </w:t>
      </w:r>
      <w:r w:rsidRPr="008D7A9F">
        <w:rPr>
          <w:rFonts w:ascii="Times New Roman" w:hAnsi="Times New Roman" w:cs="Times New Roman"/>
          <w:noProof w:val="0"/>
          <w:sz w:val="22"/>
          <w:szCs w:val="22"/>
        </w:rPr>
        <w:t>mątwika z</w:t>
      </w:r>
      <w:r w:rsidRPr="000579B8">
        <w:rPr>
          <w:rFonts w:ascii="Times New Roman" w:hAnsi="Times New Roman" w:cs="Times New Roman"/>
          <w:noProof w:val="0"/>
          <w:sz w:val="22"/>
          <w:szCs w:val="22"/>
        </w:rPr>
        <w:t>iemniaczanego i agresywnego nie odbiegają do odmian wzorcowych pod względem badanych cech agronomicznych (plon, skrobia, morfologia bulw). N</w:t>
      </w:r>
      <w:r w:rsidRPr="008D7A9F">
        <w:rPr>
          <w:rFonts w:ascii="Times New Roman" w:hAnsi="Times New Roman" w:cs="Times New Roman"/>
          <w:noProof w:val="0"/>
          <w:sz w:val="22"/>
          <w:szCs w:val="22"/>
        </w:rPr>
        <w:t>a</w:t>
      </w:r>
      <w:r w:rsidRPr="000579B8">
        <w:rPr>
          <w:rFonts w:ascii="Times New Roman" w:hAnsi="Times New Roman" w:cs="Times New Roman"/>
          <w:noProof w:val="0"/>
          <w:sz w:val="22"/>
          <w:szCs w:val="22"/>
        </w:rPr>
        <w:t xml:space="preserve">gromadzenie  odporności na mątwiki nie ma więc negatywnego </w:t>
      </w:r>
      <w:r w:rsidRPr="008D7A9F">
        <w:rPr>
          <w:rFonts w:ascii="Times New Roman" w:hAnsi="Times New Roman" w:cs="Times New Roman"/>
          <w:noProof w:val="0"/>
          <w:sz w:val="22"/>
          <w:szCs w:val="22"/>
        </w:rPr>
        <w:t>wpływu na te cechy.</w:t>
      </w:r>
    </w:p>
    <w:p w:rsidR="00EB1155" w:rsidRPr="008D7A9F" w:rsidRDefault="00EB1155" w:rsidP="00E22BA8">
      <w:pPr>
        <w:pStyle w:val="Akapitzlist"/>
        <w:numPr>
          <w:ilvl w:val="0"/>
          <w:numId w:val="1"/>
        </w:numPr>
        <w:tabs>
          <w:tab w:val="clear" w:pos="1440"/>
          <w:tab w:val="left" w:pos="720"/>
          <w:tab w:val="num" w:pos="1134"/>
        </w:tabs>
        <w:suppressAutoHyphens/>
        <w:spacing w:after="120" w:line="276" w:lineRule="auto"/>
        <w:ind w:left="426"/>
        <w:jc w:val="both"/>
        <w:rPr>
          <w:noProof w:val="0"/>
          <w:sz w:val="22"/>
          <w:szCs w:val="22"/>
        </w:rPr>
      </w:pPr>
      <w:r w:rsidRPr="008D7A9F">
        <w:rPr>
          <w:noProof w:val="0"/>
          <w:sz w:val="22"/>
          <w:szCs w:val="22"/>
        </w:rPr>
        <w:t xml:space="preserve">Wyselekcjonowano 6 klonów </w:t>
      </w:r>
      <w:r>
        <w:rPr>
          <w:noProof w:val="0"/>
          <w:sz w:val="22"/>
          <w:szCs w:val="22"/>
        </w:rPr>
        <w:t xml:space="preserve">charakteryzujących się </w:t>
      </w:r>
      <w:r w:rsidRPr="008D7A9F">
        <w:rPr>
          <w:noProof w:val="0"/>
          <w:sz w:val="22"/>
          <w:szCs w:val="22"/>
        </w:rPr>
        <w:t>amplifikacj</w:t>
      </w:r>
      <w:r>
        <w:rPr>
          <w:noProof w:val="0"/>
          <w:sz w:val="22"/>
          <w:szCs w:val="22"/>
        </w:rPr>
        <w:t>ą</w:t>
      </w:r>
      <w:r w:rsidRPr="008D7A9F">
        <w:rPr>
          <w:noProof w:val="0"/>
          <w:sz w:val="22"/>
          <w:szCs w:val="22"/>
        </w:rPr>
        <w:t xml:space="preserve"> markerów 5 genów odporności: </w:t>
      </w:r>
      <w:r w:rsidRPr="008D7A9F">
        <w:rPr>
          <w:i/>
          <w:noProof w:val="0"/>
          <w:sz w:val="22"/>
          <w:szCs w:val="22"/>
        </w:rPr>
        <w:t>H1</w:t>
      </w:r>
      <w:r w:rsidRPr="008D7A9F">
        <w:rPr>
          <w:noProof w:val="0"/>
          <w:sz w:val="22"/>
          <w:szCs w:val="22"/>
        </w:rPr>
        <w:t xml:space="preserve">, </w:t>
      </w:r>
      <w:r w:rsidRPr="008D7A9F">
        <w:rPr>
          <w:i/>
          <w:noProof w:val="0"/>
          <w:sz w:val="22"/>
          <w:szCs w:val="22"/>
        </w:rPr>
        <w:t>Gro1-4</w:t>
      </w:r>
      <w:r w:rsidRPr="008D7A9F">
        <w:rPr>
          <w:noProof w:val="0"/>
          <w:sz w:val="22"/>
          <w:szCs w:val="22"/>
        </w:rPr>
        <w:t xml:space="preserve">, </w:t>
      </w:r>
      <w:proofErr w:type="spellStart"/>
      <w:r w:rsidRPr="008D7A9F">
        <w:rPr>
          <w:i/>
          <w:noProof w:val="0"/>
          <w:sz w:val="22"/>
          <w:szCs w:val="22"/>
        </w:rPr>
        <w:t>GpaV</w:t>
      </w:r>
      <w:r w:rsidRPr="008D7A9F">
        <w:rPr>
          <w:i/>
          <w:noProof w:val="0"/>
          <w:sz w:val="22"/>
          <w:szCs w:val="22"/>
          <w:vertAlign w:val="subscript"/>
        </w:rPr>
        <w:t>vrn</w:t>
      </w:r>
      <w:proofErr w:type="spellEnd"/>
      <w:r w:rsidRPr="008D7A9F">
        <w:rPr>
          <w:noProof w:val="0"/>
          <w:sz w:val="22"/>
          <w:szCs w:val="22"/>
        </w:rPr>
        <w:t xml:space="preserve">, </w:t>
      </w:r>
      <w:r w:rsidRPr="008D7A9F">
        <w:rPr>
          <w:i/>
          <w:noProof w:val="0"/>
          <w:sz w:val="22"/>
          <w:szCs w:val="22"/>
        </w:rPr>
        <w:t xml:space="preserve">sen1 </w:t>
      </w:r>
      <w:r w:rsidRPr="008D7A9F">
        <w:rPr>
          <w:noProof w:val="0"/>
          <w:sz w:val="22"/>
          <w:szCs w:val="22"/>
        </w:rPr>
        <w:t xml:space="preserve">i </w:t>
      </w:r>
      <w:proofErr w:type="spellStart"/>
      <w:r w:rsidRPr="008D7A9F">
        <w:rPr>
          <w:rFonts w:eastAsiaTheme="minorHAnsi"/>
          <w:i/>
          <w:iCs/>
          <w:noProof w:val="0"/>
          <w:sz w:val="22"/>
          <w:szCs w:val="22"/>
        </w:rPr>
        <w:t>Ry-f</w:t>
      </w:r>
      <w:r w:rsidRPr="008D7A9F">
        <w:rPr>
          <w:rFonts w:eastAsiaTheme="minorHAnsi"/>
          <w:i/>
          <w:iCs/>
          <w:noProof w:val="0"/>
          <w:sz w:val="22"/>
          <w:szCs w:val="22"/>
          <w:vertAlign w:val="subscript"/>
        </w:rPr>
        <w:t>sto</w:t>
      </w:r>
      <w:proofErr w:type="spellEnd"/>
      <w:r w:rsidRPr="008D7A9F">
        <w:rPr>
          <w:rFonts w:eastAsiaTheme="minorHAnsi"/>
          <w:iCs/>
          <w:noProof w:val="0"/>
          <w:sz w:val="22"/>
          <w:szCs w:val="22"/>
        </w:rPr>
        <w:t>.</w:t>
      </w:r>
    </w:p>
    <w:p w:rsidR="00EB1155" w:rsidRPr="00CA73DF" w:rsidRDefault="00EB1155" w:rsidP="00E22BA8">
      <w:pPr>
        <w:pStyle w:val="Tekstpodstawowywcity"/>
        <w:numPr>
          <w:ilvl w:val="0"/>
          <w:numId w:val="1"/>
        </w:numPr>
        <w:tabs>
          <w:tab w:val="clear" w:pos="1440"/>
          <w:tab w:val="num" w:pos="1701"/>
        </w:tabs>
        <w:suppressAutoHyphens/>
        <w:spacing w:after="120" w:line="276" w:lineRule="auto"/>
        <w:ind w:left="426"/>
        <w:jc w:val="both"/>
        <w:rPr>
          <w:rFonts w:ascii="Times New Roman" w:hAnsi="Times New Roman" w:cs="Times New Roman"/>
          <w:noProof w:val="0"/>
          <w:sz w:val="22"/>
          <w:szCs w:val="22"/>
        </w:rPr>
      </w:pPr>
      <w:r w:rsidRPr="008D7A9F">
        <w:rPr>
          <w:rFonts w:ascii="Times New Roman" w:hAnsi="Times New Roman"/>
          <w:noProof w:val="0"/>
          <w:sz w:val="22"/>
          <w:szCs w:val="22"/>
        </w:rPr>
        <w:t>Uzyskano</w:t>
      </w:r>
      <w:r w:rsidRPr="00A9349F">
        <w:rPr>
          <w:rFonts w:ascii="Times New Roman" w:hAnsi="Times New Roman"/>
          <w:noProof w:val="0"/>
          <w:sz w:val="22"/>
          <w:szCs w:val="22"/>
        </w:rPr>
        <w:t xml:space="preserve"> łącznie </w:t>
      </w:r>
      <w:r>
        <w:rPr>
          <w:rFonts w:ascii="Times New Roman" w:hAnsi="Times New Roman"/>
          <w:noProof w:val="0"/>
          <w:sz w:val="22"/>
          <w:szCs w:val="22"/>
        </w:rPr>
        <w:t>2</w:t>
      </w:r>
      <w:r w:rsidRPr="00A9349F">
        <w:rPr>
          <w:rFonts w:ascii="Times New Roman" w:hAnsi="Times New Roman"/>
          <w:noProof w:val="0"/>
          <w:sz w:val="22"/>
          <w:szCs w:val="22"/>
        </w:rPr>
        <w:t xml:space="preserve">4 jagody z krzyżowania form Sg z klonem 11-VIII-86 oraz </w:t>
      </w:r>
      <w:r>
        <w:rPr>
          <w:rFonts w:ascii="Times New Roman" w:hAnsi="Times New Roman"/>
          <w:noProof w:val="0"/>
          <w:sz w:val="22"/>
          <w:szCs w:val="22"/>
        </w:rPr>
        <w:t>30</w:t>
      </w:r>
      <w:r w:rsidRPr="00A9349F">
        <w:rPr>
          <w:rFonts w:ascii="Times New Roman" w:hAnsi="Times New Roman"/>
          <w:noProof w:val="0"/>
          <w:sz w:val="22"/>
          <w:szCs w:val="22"/>
        </w:rPr>
        <w:t xml:space="preserve"> jagód </w:t>
      </w:r>
      <w:r>
        <w:rPr>
          <w:rFonts w:ascii="Times New Roman" w:hAnsi="Times New Roman"/>
          <w:noProof w:val="0"/>
          <w:sz w:val="22"/>
          <w:szCs w:val="22"/>
        </w:rPr>
        <w:br/>
      </w:r>
      <w:r w:rsidRPr="00A9349F">
        <w:rPr>
          <w:rFonts w:ascii="Times New Roman" w:hAnsi="Times New Roman"/>
          <w:noProof w:val="0"/>
          <w:sz w:val="22"/>
          <w:szCs w:val="22"/>
        </w:rPr>
        <w:t>z krzyżowania z udziałem klonu PW363</w:t>
      </w:r>
      <w:r w:rsidRPr="00A9349F">
        <w:rPr>
          <w:rFonts w:ascii="Times New Roman" w:hAnsi="Times New Roman" w:cs="Times New Roman"/>
          <w:noProof w:val="0"/>
          <w:sz w:val="22"/>
          <w:szCs w:val="22"/>
        </w:rPr>
        <w:t>,</w:t>
      </w:r>
      <w:r>
        <w:rPr>
          <w:rFonts w:ascii="Times New Roman" w:hAnsi="Times New Roman" w:cs="Times New Roman"/>
          <w:noProof w:val="0"/>
          <w:sz w:val="22"/>
          <w:szCs w:val="22"/>
        </w:rPr>
        <w:t xml:space="preserve"> a z</w:t>
      </w:r>
      <w:r w:rsidRPr="00A9349F">
        <w:rPr>
          <w:rFonts w:ascii="Times New Roman" w:hAnsi="Times New Roman" w:cs="Times New Roman"/>
          <w:noProof w:val="0"/>
          <w:sz w:val="22"/>
          <w:szCs w:val="22"/>
        </w:rPr>
        <w:t xml:space="preserve"> </w:t>
      </w:r>
      <w:r w:rsidRPr="00CA73DF">
        <w:rPr>
          <w:rFonts w:ascii="Times New Roman" w:hAnsi="Times New Roman" w:cs="Times New Roman"/>
          <w:noProof w:val="0"/>
          <w:sz w:val="22"/>
          <w:szCs w:val="22"/>
        </w:rPr>
        <w:t xml:space="preserve">nasion uzyskanych z krzyżowań </w:t>
      </w:r>
      <w:proofErr w:type="spellStart"/>
      <w:r w:rsidRPr="00CA73DF">
        <w:rPr>
          <w:rFonts w:ascii="Times New Roman" w:hAnsi="Times New Roman" w:cs="Times New Roman"/>
          <w:noProof w:val="0"/>
          <w:sz w:val="22"/>
          <w:szCs w:val="22"/>
        </w:rPr>
        <w:t>interploidanych</w:t>
      </w:r>
      <w:proofErr w:type="spellEnd"/>
      <w:r w:rsidRPr="00CA73DF">
        <w:rPr>
          <w:rFonts w:ascii="Times New Roman" w:hAnsi="Times New Roman" w:cs="Times New Roman"/>
          <w:noProof w:val="0"/>
          <w:sz w:val="22"/>
          <w:szCs w:val="22"/>
        </w:rPr>
        <w:t xml:space="preserve"> 2018 zebrano 8 klonów, które wytworzyły bulwy</w:t>
      </w:r>
      <w:r w:rsidRPr="00A9349F">
        <w:rPr>
          <w:rFonts w:ascii="Times New Roman" w:hAnsi="Times New Roman" w:cs="Times New Roman"/>
          <w:noProof w:val="0"/>
          <w:sz w:val="22"/>
          <w:szCs w:val="22"/>
        </w:rPr>
        <w:t xml:space="preserve"> co wskazuje na możliwość wprowadzenia odporności z </w:t>
      </w:r>
      <w:r w:rsidRPr="00A9349F">
        <w:rPr>
          <w:rFonts w:ascii="Times New Roman" w:hAnsi="Times New Roman" w:cs="Times New Roman"/>
          <w:i/>
          <w:noProof w:val="0"/>
          <w:sz w:val="22"/>
          <w:szCs w:val="22"/>
        </w:rPr>
        <w:t>S. gourlayi</w:t>
      </w:r>
      <w:r w:rsidRPr="00A9349F">
        <w:rPr>
          <w:rFonts w:ascii="Times New Roman" w:hAnsi="Times New Roman" w:cs="Times New Roman"/>
          <w:noProof w:val="0"/>
          <w:sz w:val="22"/>
          <w:szCs w:val="22"/>
        </w:rPr>
        <w:t xml:space="preserve"> na poziom tetraploidalny.</w:t>
      </w:r>
      <w:r w:rsidRPr="00CA73DF">
        <w:rPr>
          <w:rFonts w:ascii="Times New Roman" w:hAnsi="Times New Roman" w:cs="Times New Roman"/>
          <w:noProof w:val="0"/>
          <w:sz w:val="22"/>
          <w:szCs w:val="22"/>
        </w:rPr>
        <w:t xml:space="preserve">  </w:t>
      </w:r>
    </w:p>
    <w:p w:rsidR="00EB1155" w:rsidRPr="00F36351" w:rsidRDefault="00EB1155" w:rsidP="00E22BA8">
      <w:pPr>
        <w:pStyle w:val="Tekstpodstawowywcity"/>
        <w:numPr>
          <w:ilvl w:val="0"/>
          <w:numId w:val="1"/>
        </w:numPr>
        <w:tabs>
          <w:tab w:val="clear" w:pos="1440"/>
          <w:tab w:val="num" w:pos="1560"/>
        </w:tabs>
        <w:suppressAutoHyphens/>
        <w:spacing w:after="120" w:line="276" w:lineRule="auto"/>
        <w:ind w:left="426"/>
        <w:jc w:val="both"/>
        <w:rPr>
          <w:rFonts w:ascii="Times New Roman" w:hAnsi="Times New Roman" w:cs="Times New Roman"/>
          <w:noProof w:val="0"/>
          <w:sz w:val="22"/>
          <w:szCs w:val="22"/>
        </w:rPr>
      </w:pPr>
      <w:bookmarkStart w:id="0" w:name="_GoBack"/>
      <w:r>
        <w:rPr>
          <w:rFonts w:ascii="Times New Roman" w:hAnsi="Times New Roman" w:cs="Times New Roman"/>
          <w:noProof w:val="0"/>
          <w:sz w:val="22"/>
          <w:szCs w:val="22"/>
        </w:rPr>
        <w:t>B</w:t>
      </w:r>
      <w:r w:rsidRPr="00F36351">
        <w:rPr>
          <w:rFonts w:ascii="Times New Roman" w:hAnsi="Times New Roman" w:cs="Times New Roman"/>
          <w:noProof w:val="0"/>
          <w:sz w:val="22"/>
          <w:szCs w:val="22"/>
        </w:rPr>
        <w:t>azując na danych uzyskanych</w:t>
      </w:r>
      <w:r>
        <w:rPr>
          <w:rFonts w:ascii="Times New Roman" w:hAnsi="Times New Roman" w:cs="Times New Roman"/>
          <w:noProof w:val="0"/>
          <w:sz w:val="22"/>
          <w:szCs w:val="22"/>
        </w:rPr>
        <w:t xml:space="preserve"> z analizy </w:t>
      </w:r>
      <w:proofErr w:type="spellStart"/>
      <w:r w:rsidRPr="00F36351">
        <w:rPr>
          <w:rFonts w:ascii="Times New Roman" w:hAnsi="Times New Roman" w:cs="Times New Roman"/>
          <w:noProof w:val="0"/>
          <w:sz w:val="22"/>
          <w:szCs w:val="22"/>
        </w:rPr>
        <w:t>DArTseq</w:t>
      </w:r>
      <w:proofErr w:type="spellEnd"/>
      <w:r w:rsidRPr="00F36351">
        <w:rPr>
          <w:rFonts w:ascii="Times New Roman" w:hAnsi="Times New Roman" w:cs="Times New Roman"/>
          <w:noProof w:val="0"/>
          <w:sz w:val="22"/>
          <w:szCs w:val="22"/>
        </w:rPr>
        <w:t xml:space="preserve"> dla populacji mapującej</w:t>
      </w:r>
      <w:r>
        <w:rPr>
          <w:rFonts w:ascii="Times New Roman" w:hAnsi="Times New Roman" w:cs="Times New Roman"/>
          <w:noProof w:val="0"/>
          <w:sz w:val="22"/>
          <w:szCs w:val="22"/>
        </w:rPr>
        <w:t xml:space="preserve"> s</w:t>
      </w:r>
      <w:r w:rsidRPr="00F36351">
        <w:rPr>
          <w:rFonts w:ascii="Times New Roman" w:hAnsi="Times New Roman" w:cs="Times New Roman"/>
          <w:noProof w:val="0"/>
          <w:sz w:val="22"/>
          <w:szCs w:val="22"/>
        </w:rPr>
        <w:t xml:space="preserve">tworzono mapę genetyczną </w:t>
      </w:r>
      <w:r w:rsidRPr="00F36351">
        <w:rPr>
          <w:rFonts w:ascii="Times New Roman" w:hAnsi="Times New Roman" w:cs="Times New Roman"/>
          <w:i/>
          <w:noProof w:val="0"/>
          <w:sz w:val="22"/>
          <w:szCs w:val="22"/>
        </w:rPr>
        <w:t>Solanum gourlayi</w:t>
      </w:r>
      <w:r>
        <w:rPr>
          <w:rFonts w:ascii="Times New Roman" w:hAnsi="Times New Roman" w:cs="Times New Roman"/>
          <w:noProof w:val="0"/>
          <w:sz w:val="22"/>
          <w:szCs w:val="22"/>
        </w:rPr>
        <w:t>.</w:t>
      </w:r>
      <w:r w:rsidRPr="00FB1144">
        <w:rPr>
          <w:rFonts w:ascii="Times New Roman" w:hAnsi="Times New Roman" w:cs="Times New Roman"/>
          <w:sz w:val="24"/>
        </w:rPr>
        <w:t xml:space="preserve"> </w:t>
      </w:r>
      <w:r>
        <w:rPr>
          <w:rFonts w:ascii="Times New Roman" w:hAnsi="Times New Roman" w:cs="Times New Roman"/>
          <w:noProof w:val="0"/>
          <w:sz w:val="22"/>
          <w:szCs w:val="22"/>
        </w:rPr>
        <w:t>U</w:t>
      </w:r>
      <w:r w:rsidRPr="00FB1144">
        <w:rPr>
          <w:rFonts w:ascii="Times New Roman" w:hAnsi="Times New Roman" w:cs="Times New Roman"/>
          <w:noProof w:val="0"/>
          <w:sz w:val="22"/>
          <w:szCs w:val="22"/>
        </w:rPr>
        <w:t xml:space="preserve">zyskana mapa genetyczna liczy 1316 </w:t>
      </w:r>
      <w:proofErr w:type="spellStart"/>
      <w:r w:rsidRPr="00FB1144">
        <w:rPr>
          <w:rFonts w:ascii="Times New Roman" w:hAnsi="Times New Roman" w:cs="Times New Roman"/>
          <w:noProof w:val="0"/>
          <w:sz w:val="22"/>
          <w:szCs w:val="22"/>
        </w:rPr>
        <w:t>loci</w:t>
      </w:r>
      <w:proofErr w:type="spellEnd"/>
      <w:r w:rsidRPr="00FB1144">
        <w:rPr>
          <w:rFonts w:ascii="Times New Roman" w:hAnsi="Times New Roman" w:cs="Times New Roman"/>
          <w:noProof w:val="0"/>
          <w:sz w:val="22"/>
          <w:szCs w:val="22"/>
        </w:rPr>
        <w:t xml:space="preserve"> i mierzyła łącznie 1021 </w:t>
      </w:r>
      <w:proofErr w:type="spellStart"/>
      <w:r w:rsidRPr="00FB1144">
        <w:rPr>
          <w:rFonts w:ascii="Times New Roman" w:hAnsi="Times New Roman" w:cs="Times New Roman"/>
          <w:noProof w:val="0"/>
          <w:sz w:val="22"/>
          <w:szCs w:val="22"/>
        </w:rPr>
        <w:t>cM</w:t>
      </w:r>
      <w:proofErr w:type="spellEnd"/>
      <w:r>
        <w:rPr>
          <w:rFonts w:ascii="Times New Roman" w:hAnsi="Times New Roman" w:cs="Times New Roman"/>
          <w:noProof w:val="0"/>
          <w:sz w:val="22"/>
          <w:szCs w:val="22"/>
        </w:rPr>
        <w:t>. Na jej podstawie przeprowadzono analizę QTL.</w:t>
      </w:r>
    </w:p>
    <w:bookmarkEnd w:id="0"/>
    <w:p w:rsidR="00477A09" w:rsidRPr="00EB1155" w:rsidRDefault="00EB1155" w:rsidP="00E22BA8">
      <w:pPr>
        <w:pStyle w:val="Tekstpodstawowywcity"/>
        <w:numPr>
          <w:ilvl w:val="0"/>
          <w:numId w:val="1"/>
        </w:numPr>
        <w:tabs>
          <w:tab w:val="clear" w:pos="1440"/>
          <w:tab w:val="num" w:pos="1701"/>
        </w:tabs>
        <w:suppressAutoHyphens/>
        <w:spacing w:after="120" w:line="276" w:lineRule="auto"/>
        <w:ind w:left="426"/>
        <w:jc w:val="both"/>
        <w:rPr>
          <w:rFonts w:ascii="Times New Roman" w:hAnsi="Times New Roman" w:cs="Times New Roman"/>
          <w:noProof w:val="0"/>
          <w:sz w:val="22"/>
          <w:szCs w:val="22"/>
        </w:rPr>
      </w:pPr>
      <w:r>
        <w:rPr>
          <w:rFonts w:ascii="Times New Roman" w:hAnsi="Times New Roman" w:cs="Times New Roman"/>
          <w:noProof w:val="0"/>
          <w:sz w:val="22"/>
          <w:szCs w:val="22"/>
        </w:rPr>
        <w:t>A</w:t>
      </w:r>
      <w:r w:rsidRPr="00F36351">
        <w:rPr>
          <w:rFonts w:ascii="Times New Roman" w:hAnsi="Times New Roman" w:cs="Times New Roman"/>
          <w:noProof w:val="0"/>
          <w:sz w:val="22"/>
          <w:szCs w:val="22"/>
        </w:rPr>
        <w:t xml:space="preserve">nalizę QTL </w:t>
      </w:r>
      <w:r>
        <w:rPr>
          <w:rFonts w:ascii="Times New Roman" w:hAnsi="Times New Roman" w:cs="Times New Roman"/>
          <w:noProof w:val="0"/>
          <w:sz w:val="22"/>
          <w:szCs w:val="22"/>
        </w:rPr>
        <w:t>przep</w:t>
      </w:r>
      <w:r w:rsidRPr="00F36351">
        <w:rPr>
          <w:rFonts w:ascii="Times New Roman" w:hAnsi="Times New Roman" w:cs="Times New Roman"/>
          <w:noProof w:val="0"/>
          <w:sz w:val="22"/>
          <w:szCs w:val="22"/>
        </w:rPr>
        <w:t xml:space="preserve">rowadzono wyznaczając </w:t>
      </w:r>
      <w:proofErr w:type="spellStart"/>
      <w:r>
        <w:rPr>
          <w:rFonts w:ascii="Times New Roman" w:hAnsi="Times New Roman" w:cs="Times New Roman"/>
          <w:noProof w:val="0"/>
          <w:sz w:val="22"/>
          <w:szCs w:val="22"/>
        </w:rPr>
        <w:t>loci</w:t>
      </w:r>
      <w:proofErr w:type="spellEnd"/>
      <w:r w:rsidRPr="00F36351">
        <w:rPr>
          <w:rFonts w:ascii="Times New Roman" w:hAnsi="Times New Roman" w:cs="Times New Roman"/>
          <w:noProof w:val="0"/>
          <w:sz w:val="22"/>
          <w:szCs w:val="22"/>
        </w:rPr>
        <w:t xml:space="preserve"> na chromosom</w:t>
      </w:r>
      <w:r>
        <w:rPr>
          <w:rFonts w:ascii="Times New Roman" w:hAnsi="Times New Roman" w:cs="Times New Roman"/>
          <w:noProof w:val="0"/>
          <w:sz w:val="22"/>
          <w:szCs w:val="22"/>
        </w:rPr>
        <w:t>ie</w:t>
      </w:r>
      <w:r w:rsidRPr="00F36351">
        <w:rPr>
          <w:rFonts w:ascii="Times New Roman" w:hAnsi="Times New Roman" w:cs="Times New Roman"/>
          <w:noProof w:val="0"/>
          <w:sz w:val="22"/>
          <w:szCs w:val="22"/>
        </w:rPr>
        <w:t xml:space="preserve"> XI tłumaczące </w:t>
      </w:r>
      <w:r>
        <w:rPr>
          <w:rFonts w:ascii="Times New Roman" w:hAnsi="Times New Roman"/>
          <w:noProof w:val="0"/>
          <w:sz w:val="22"/>
          <w:szCs w:val="22"/>
        </w:rPr>
        <w:t xml:space="preserve">średnio od 12,9 do 14,8% </w:t>
      </w:r>
      <w:r w:rsidRPr="00F36351">
        <w:rPr>
          <w:rFonts w:ascii="Times New Roman" w:hAnsi="Times New Roman" w:cs="Times New Roman"/>
          <w:noProof w:val="0"/>
          <w:sz w:val="22"/>
          <w:szCs w:val="22"/>
        </w:rPr>
        <w:t>zmienności w przypadku oceny odporności na</w:t>
      </w:r>
      <w:r>
        <w:rPr>
          <w:rFonts w:ascii="Times New Roman" w:hAnsi="Times New Roman" w:cs="Times New Roman"/>
          <w:noProof w:val="0"/>
          <w:sz w:val="22"/>
          <w:szCs w:val="22"/>
        </w:rPr>
        <w:t xml:space="preserve"> patotyp</w:t>
      </w:r>
      <w:r w:rsidRPr="00F36351">
        <w:rPr>
          <w:rFonts w:ascii="Times New Roman" w:hAnsi="Times New Roman" w:cs="Times New Roman"/>
          <w:noProof w:val="0"/>
          <w:sz w:val="22"/>
          <w:szCs w:val="22"/>
        </w:rPr>
        <w:t xml:space="preserve"> Pa3 </w:t>
      </w:r>
      <w:r w:rsidRPr="00C454AB">
        <w:rPr>
          <w:rFonts w:ascii="Times New Roman" w:hAnsi="Times New Roman" w:cs="Times New Roman"/>
          <w:i/>
          <w:noProof w:val="0"/>
          <w:sz w:val="22"/>
          <w:szCs w:val="22"/>
        </w:rPr>
        <w:t>G. pallida</w:t>
      </w:r>
      <w:r>
        <w:rPr>
          <w:rFonts w:ascii="Times New Roman" w:hAnsi="Times New Roman" w:cs="Times New Roman"/>
          <w:noProof w:val="0"/>
          <w:sz w:val="22"/>
          <w:szCs w:val="22"/>
        </w:rPr>
        <w:t>.</w:t>
      </w:r>
    </w:p>
    <w:sectPr w:rsidR="00477A09" w:rsidRPr="00EB1155" w:rsidSect="00633C82">
      <w:pgSz w:w="11906" w:h="16838"/>
      <w:pgMar w:top="851"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
    <w:nsid w:val="5E9D0968"/>
    <w:multiLevelType w:val="multilevel"/>
    <w:tmpl w:val="00000003"/>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
    <w:nsid w:val="6AB97B0B"/>
    <w:multiLevelType w:val="multilevel"/>
    <w:tmpl w:val="00000003"/>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477A09"/>
    <w:rsid w:val="00016A4E"/>
    <w:rsid w:val="00117A75"/>
    <w:rsid w:val="003F58D5"/>
    <w:rsid w:val="0042146B"/>
    <w:rsid w:val="004721EE"/>
    <w:rsid w:val="00477A09"/>
    <w:rsid w:val="0048685C"/>
    <w:rsid w:val="00B71810"/>
    <w:rsid w:val="00B72A42"/>
    <w:rsid w:val="00C64C6C"/>
    <w:rsid w:val="00E22BA8"/>
    <w:rsid w:val="00EB115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7A09"/>
    <w:pPr>
      <w:spacing w:after="0" w:line="240" w:lineRule="auto"/>
    </w:pPr>
    <w:rPr>
      <w:rFonts w:ascii="Times New Roman" w:eastAsia="Times New Roman" w:hAnsi="Times New Roman" w:cs="Times New Roman"/>
      <w:noProo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semiHidden/>
    <w:rsid w:val="00477A09"/>
    <w:pPr>
      <w:ind w:left="1440" w:hanging="360"/>
    </w:pPr>
    <w:rPr>
      <w:rFonts w:ascii="Arial" w:hAnsi="Arial" w:cs="Arial"/>
      <w:sz w:val="20"/>
    </w:rPr>
  </w:style>
  <w:style w:type="character" w:customStyle="1" w:styleId="TekstpodstawowywcityZnak">
    <w:name w:val="Tekst podstawowy wcięty Znak"/>
    <w:basedOn w:val="Domylnaczcionkaakapitu"/>
    <w:link w:val="Tekstpodstawowywcity"/>
    <w:uiPriority w:val="99"/>
    <w:semiHidden/>
    <w:rsid w:val="00477A09"/>
    <w:rPr>
      <w:rFonts w:ascii="Arial" w:eastAsia="Times New Roman" w:hAnsi="Arial" w:cs="Arial"/>
      <w:noProof/>
      <w:sz w:val="20"/>
      <w:szCs w:val="24"/>
    </w:rPr>
  </w:style>
  <w:style w:type="paragraph" w:styleId="HTML-wstpniesformatowany">
    <w:name w:val="HTML Preformatted"/>
    <w:basedOn w:val="Normalny"/>
    <w:link w:val="HTML-wstpniesformatowanyZnak"/>
    <w:rsid w:val="00477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eastAsia="pl-PL"/>
    </w:rPr>
  </w:style>
  <w:style w:type="character" w:customStyle="1" w:styleId="HTML-wstpniesformatowanyZnak">
    <w:name w:val="HTML - wstępnie sformatowany Znak"/>
    <w:basedOn w:val="Domylnaczcionkaakapitu"/>
    <w:link w:val="HTML-wstpniesformatowany"/>
    <w:rsid w:val="00477A09"/>
    <w:rPr>
      <w:rFonts w:ascii="Courier New" w:eastAsia="Times New Roman" w:hAnsi="Courier New" w:cs="Courier New"/>
      <w:sz w:val="20"/>
      <w:szCs w:val="20"/>
      <w:lang w:eastAsia="pl-PL"/>
    </w:rPr>
  </w:style>
  <w:style w:type="paragraph" w:styleId="Akapitzlist">
    <w:name w:val="List Paragraph"/>
    <w:basedOn w:val="Normalny"/>
    <w:uiPriority w:val="34"/>
    <w:qFormat/>
    <w:rsid w:val="00477A0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1547</Words>
  <Characters>9282</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c:creator>
  <cp:lastModifiedBy>DM</cp:lastModifiedBy>
  <cp:revision>7</cp:revision>
  <dcterms:created xsi:type="dcterms:W3CDTF">2019-12-16T10:55:00Z</dcterms:created>
  <dcterms:modified xsi:type="dcterms:W3CDTF">2019-12-16T11:51:00Z</dcterms:modified>
</cp:coreProperties>
</file>