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8E" w:rsidRPr="004B2C8E" w:rsidRDefault="004B2C8E" w:rsidP="00730043">
      <w:pPr>
        <w:spacing w:after="120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4B2C8E">
        <w:rPr>
          <w:sz w:val="22"/>
          <w:szCs w:val="22"/>
        </w:rPr>
        <w:t>Załącznik nr 2 do SIWZ,</w:t>
      </w:r>
    </w:p>
    <w:p w:rsidR="004B2C8E" w:rsidRPr="004B2C8E" w:rsidRDefault="004B2C8E" w:rsidP="004B2C8E">
      <w:pPr>
        <w:spacing w:after="120"/>
        <w:rPr>
          <w:sz w:val="22"/>
          <w:szCs w:val="22"/>
        </w:rPr>
      </w:pP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</w:r>
      <w:r w:rsidRPr="004B2C8E">
        <w:rPr>
          <w:sz w:val="22"/>
          <w:szCs w:val="22"/>
        </w:rPr>
        <w:tab/>
        <w:t>ZP/09/N/D/2020 ZIG</w:t>
      </w:r>
    </w:p>
    <w:p w:rsidR="004B2C8E" w:rsidRPr="004B2C8E" w:rsidRDefault="004B2C8E" w:rsidP="00730043">
      <w:pPr>
        <w:spacing w:after="120"/>
        <w:rPr>
          <w:b/>
          <w:sz w:val="22"/>
          <w:szCs w:val="22"/>
        </w:rPr>
      </w:pPr>
    </w:p>
    <w:p w:rsidR="00730043" w:rsidRPr="004B2C8E" w:rsidRDefault="00730043" w:rsidP="00730043">
      <w:pPr>
        <w:spacing w:after="120"/>
        <w:rPr>
          <w:b/>
          <w:sz w:val="22"/>
          <w:szCs w:val="22"/>
        </w:rPr>
      </w:pPr>
      <w:r w:rsidRPr="004B2C8E">
        <w:rPr>
          <w:b/>
          <w:sz w:val="22"/>
          <w:szCs w:val="22"/>
        </w:rPr>
        <w:t>Opis aparatury “Zestaw do analizy ekspresji genów. Termocykler do PCR z pomiarem w czasie rzeczywistym”</w:t>
      </w:r>
    </w:p>
    <w:p w:rsidR="00730043" w:rsidRPr="004B2C8E" w:rsidRDefault="00730043" w:rsidP="004B2C8E">
      <w:pPr>
        <w:spacing w:after="120"/>
        <w:jc w:val="right"/>
        <w:rPr>
          <w:sz w:val="22"/>
          <w:szCs w:val="22"/>
          <w:lang w:val="en-US"/>
        </w:rPr>
      </w:pP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Podstawa z dotykowym wyświetlaczem. Blok grzejno-chłodzący z układami Peltier’a.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Blok grzejnego o pojemności min. 384 próbek umożliwiający prowadzenie reakcji w standardowych niskoprofilowych mikropłytkach lub paskach probówek. </w:t>
      </w:r>
      <w:bookmarkStart w:id="0" w:name="_GoBack"/>
      <w:bookmarkEnd w:id="0"/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Budowa modułowa z możliwością zainstalowania opcjonalnych wymiennych głowic do Real-Time PCR na 96 próbki oraz oddzielnych głowic do reakcji PCR z blokami 1x96, 2x48 oraz 384. 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Wszystkie wymienne modułu zarówno optyczna jak i do standardowej reakcji PCR muszą mieć funkcję gradientu termicznego. 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Zakres temperatury bloku 0 - 100°C. 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Dokładność ustalenia temperatury nie gorsza niż +/-0,2 °C w temp. 90 °C. 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Równomierność rozkładu temperatury na płycie nie gorsza niż +/-0,4 °C osiągane w czasie 10 sek. dla temp. 90 °C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Zakres wielkości próbki minimum: 1 – 30 µl.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Maksymalna szybkość zmian temperatury, co najmniej 2,5 °C/s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Musi posiadać gradient termiczny umożliwiający jednoczesną optymalizację warunków reakcji, dla co najmniej 8 reagentów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Maksymalna rozpiętość programowalnego zakresu gradientu termicznego, co najmniej 24 °C. Gradient musi być dynamiczny.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Zakres temp. ustawienia gradientu 30 – 100 °C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Pokrywa z grzaniem do 105 °C.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Metoda pomiarowa: fluorescencja.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Źródło światła: diody LED.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Zakres spektralny światła wzbudzającego/emisyjnego nie mniejszy niż 450 – 690 nm.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Multipleks 4 kanałowy – możliwość oznaczania jednocześnie do 4 genów w jednej próbce.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Każdy kanał pomiarowy musi być wyposażony w indywidualną diodę LED o długości światła optymalnej do barwników przypisanych do każdej z nich.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Urządzenie wyposażone w komplet filtrów światła wzbudzającego i emitowanego zainstalowanych dla każdego z 4 kanałów.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Gotowy system do detekcji reakcji z użyciem barwników: SYBR GREEN, FAM, HEX, VIC, TET, Cal Gold 540, ROX, TEXAS RED, Cal Red 610, Cy5, </w:t>
      </w:r>
      <w:proofErr w:type="spellStart"/>
      <w:r w:rsidRPr="004B2C8E">
        <w:rPr>
          <w:sz w:val="22"/>
          <w:szCs w:val="22"/>
        </w:rPr>
        <w:t>Quasar</w:t>
      </w:r>
      <w:proofErr w:type="spellEnd"/>
      <w:r w:rsidRPr="004B2C8E">
        <w:rPr>
          <w:sz w:val="22"/>
          <w:szCs w:val="22"/>
        </w:rPr>
        <w:t xml:space="preserve"> 670. Urządzenie musi być fabrycznie skalibrowane do pracy z tymi barwnikami bez potrzeby przeprowadzanie takiej procedury przez użytkownika. Brak potrzeby użycia barwników referencyjnych.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Dodatkowy kanał dostosowany do techniki FRET.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Kilka trybów rejestracji danych w tym opcja szybkiego pomiaru dla pojedynczego kanału.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Możliwość programowania płytki doświadczalnej przed, w trakcie lub po zakończeniu pomiaru.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Połączenie do komputera poprzez port USB 2.0.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lastRenderedPageBreak/>
        <w:t>Oprogramowanie musi zapewniać akwizycję i obróbkę wyników.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Tworzenie krzywej kalibracyjnej umożliwiającej oznaczania ilościowe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Analiza krzywej topnienia.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Analiza względnego stężenia DNA „gene expression” poprzez pomiar ΔCT lub ΔΔCT z wieloma genami referencyjnymi.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Możliwość jednoczesnej analizy ekspresji genów dla próbek pochodzących z różnych pomiarów.  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Analiza z zaprogramowanym punktem końcowym pomiaru „end-point”.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Analiza alleli (dyskryminacja alleli).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Możliwość eksportu zapisanych wyników analiz do innych aplikacji (Microsoft Excel, Word, PowerPoint).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 xml:space="preserve">Oprogramowanie, zintegrowane funkcjonalnie z urządzeniem musi zawierać możliwość analizy ANOVA oraz za pomocą testu normalności </w:t>
      </w:r>
      <w:proofErr w:type="spellStart"/>
      <w:r w:rsidRPr="004B2C8E">
        <w:rPr>
          <w:sz w:val="22"/>
          <w:szCs w:val="22"/>
        </w:rPr>
        <w:t>Shapiro</w:t>
      </w:r>
      <w:proofErr w:type="spellEnd"/>
      <w:r w:rsidRPr="004B2C8E">
        <w:rPr>
          <w:sz w:val="22"/>
          <w:szCs w:val="22"/>
        </w:rPr>
        <w:t>-Wilka a także program do testowania genów referencyjnych typu GENORM lub nie gorszy.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Urządzenie musi umożliwiać analizę HRM z wykorzystaniem oprogramowania do analizy krzywych topnienie o wysokiej rozdzielczości HRM. W zestawie oprogramowanie do analizy HRM, 2 licencje.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Zasilanie 230V/50Hz.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Oprogramowanie musi być kompatybilne z Windows 10.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Autoryzowany serwis gwarancyjny i pogwarancyjny na terenie Polski.</w:t>
      </w:r>
    </w:p>
    <w:p w:rsidR="00730043" w:rsidRPr="004B2C8E" w:rsidRDefault="00730043" w:rsidP="00730043">
      <w:pPr>
        <w:numPr>
          <w:ilvl w:val="0"/>
          <w:numId w:val="1"/>
        </w:numPr>
        <w:spacing w:after="120"/>
        <w:ind w:left="567" w:hanging="567"/>
        <w:rPr>
          <w:sz w:val="22"/>
          <w:szCs w:val="22"/>
        </w:rPr>
      </w:pPr>
      <w:r w:rsidRPr="004B2C8E">
        <w:rPr>
          <w:sz w:val="22"/>
          <w:szCs w:val="22"/>
        </w:rPr>
        <w:t>Stacja do zbierania i analizy wyników w zestawie.</w:t>
      </w:r>
    </w:p>
    <w:p w:rsidR="00431A40" w:rsidRPr="004B2C8E" w:rsidRDefault="00730043" w:rsidP="00730043">
      <w:r w:rsidRPr="004B2C8E">
        <w:rPr>
          <w:sz w:val="22"/>
          <w:szCs w:val="22"/>
        </w:rPr>
        <w:t xml:space="preserve">Gwarancja na oferowany zestaw Real-Time PCR </w:t>
      </w:r>
      <w:r w:rsidRPr="004B2C8E">
        <w:rPr>
          <w:b/>
          <w:sz w:val="22"/>
          <w:szCs w:val="22"/>
        </w:rPr>
        <w:t>48 miesięcy</w:t>
      </w:r>
      <w:r w:rsidRPr="004B2C8E">
        <w:rPr>
          <w:sz w:val="22"/>
          <w:szCs w:val="22"/>
        </w:rPr>
        <w:t>, na stację roboczą 24 miesiące. W ramach gwarancji dostarczenie urządzenia zastępczego dokładnie tego samego typu, jeżeli naprawa wymaga okresu dłuższego niż 7 dni roboczych</w:t>
      </w:r>
    </w:p>
    <w:sectPr w:rsidR="00431A40" w:rsidRPr="004B2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3F8" w:rsidRDefault="00C643F8" w:rsidP="00730043">
      <w:r>
        <w:separator/>
      </w:r>
    </w:p>
  </w:endnote>
  <w:endnote w:type="continuationSeparator" w:id="0">
    <w:p w:rsidR="00C643F8" w:rsidRDefault="00C643F8" w:rsidP="0073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3F8" w:rsidRDefault="00C643F8" w:rsidP="00730043">
      <w:r>
        <w:separator/>
      </w:r>
    </w:p>
  </w:footnote>
  <w:footnote w:type="continuationSeparator" w:id="0">
    <w:p w:rsidR="00C643F8" w:rsidRDefault="00C643F8" w:rsidP="00730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C499A"/>
    <w:multiLevelType w:val="hybridMultilevel"/>
    <w:tmpl w:val="AC9ED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43"/>
    <w:rsid w:val="00431A40"/>
    <w:rsid w:val="004B2C8E"/>
    <w:rsid w:val="00730043"/>
    <w:rsid w:val="00C6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043"/>
  </w:style>
  <w:style w:type="paragraph" w:styleId="Stopka">
    <w:name w:val="footer"/>
    <w:basedOn w:val="Normalny"/>
    <w:link w:val="StopkaZnak"/>
    <w:uiPriority w:val="99"/>
    <w:unhideWhenUsed/>
    <w:rsid w:val="00730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043"/>
  </w:style>
  <w:style w:type="paragraph" w:styleId="Stopka">
    <w:name w:val="footer"/>
    <w:basedOn w:val="Normalny"/>
    <w:link w:val="StopkaZnak"/>
    <w:uiPriority w:val="99"/>
    <w:unhideWhenUsed/>
    <w:rsid w:val="00730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2</cp:revision>
  <dcterms:created xsi:type="dcterms:W3CDTF">2020-08-04T08:45:00Z</dcterms:created>
  <dcterms:modified xsi:type="dcterms:W3CDTF">2020-08-04T08:50:00Z</dcterms:modified>
</cp:coreProperties>
</file>