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4BA8A" w14:textId="6AE5A32E" w:rsidR="009F4396" w:rsidRPr="00303866" w:rsidRDefault="009F4396" w:rsidP="009F4396">
      <w:pPr>
        <w:tabs>
          <w:tab w:val="num" w:pos="0"/>
          <w:tab w:val="left" w:pos="502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</w:rPr>
      </w:pPr>
      <w:r w:rsidRPr="00303866">
        <w:rPr>
          <w:rFonts w:ascii="Times New Roman" w:eastAsia="Times New Roman" w:hAnsi="Times New Roman" w:cs="Times New Roman"/>
          <w:b/>
          <w:noProof/>
        </w:rPr>
        <w:t>Streszczenie zadania za 20</w:t>
      </w:r>
      <w:r>
        <w:rPr>
          <w:rFonts w:ascii="Times New Roman" w:eastAsia="Times New Roman" w:hAnsi="Times New Roman" w:cs="Times New Roman"/>
          <w:b/>
          <w:noProof/>
        </w:rPr>
        <w:t>20</w:t>
      </w:r>
      <w:r w:rsidRPr="00303866">
        <w:rPr>
          <w:rFonts w:ascii="Times New Roman" w:eastAsia="Times New Roman" w:hAnsi="Times New Roman" w:cs="Times New Roman"/>
          <w:b/>
          <w:noProof/>
        </w:rPr>
        <w:t xml:space="preserve"> r. w Programie Badań Podstawowych w Produkcji Roślinnej.</w:t>
      </w:r>
    </w:p>
    <w:p w14:paraId="16C2AB04" w14:textId="7693C7DC" w:rsidR="00692421" w:rsidRDefault="00692421" w:rsidP="00692421">
      <w:pPr>
        <w:pStyle w:val="gwp076c0a16msonormal"/>
        <w:shd w:val="clear" w:color="auto" w:fill="FFFFFF"/>
        <w:spacing w:after="240" w:line="360" w:lineRule="auto"/>
        <w:jc w:val="center"/>
        <w:rPr>
          <w:b/>
        </w:rPr>
      </w:pPr>
      <w:r w:rsidRPr="00E95F8F">
        <w:rPr>
          <w:b/>
          <w:i/>
          <w:iCs/>
        </w:rPr>
        <w:t>(4-1-01-4-01)</w:t>
      </w:r>
      <w:r>
        <w:rPr>
          <w:b/>
        </w:rPr>
        <w:t xml:space="preserve"> </w:t>
      </w:r>
      <w:r w:rsidRPr="009B31AB">
        <w:rPr>
          <w:b/>
        </w:rPr>
        <w:t>Mapowanie asocjacyjne genów odporności na rdzę brunatną (</w:t>
      </w:r>
      <w:proofErr w:type="spellStart"/>
      <w:r w:rsidRPr="009B31AB">
        <w:rPr>
          <w:b/>
          <w:i/>
        </w:rPr>
        <w:t>Puccinia</w:t>
      </w:r>
      <w:proofErr w:type="spellEnd"/>
      <w:r w:rsidRPr="009B31AB">
        <w:rPr>
          <w:b/>
          <w:i/>
        </w:rPr>
        <w:t xml:space="preserve"> </w:t>
      </w:r>
      <w:proofErr w:type="spellStart"/>
      <w:r w:rsidRPr="009B31AB">
        <w:rPr>
          <w:b/>
          <w:i/>
        </w:rPr>
        <w:t>triticina</w:t>
      </w:r>
      <w:proofErr w:type="spellEnd"/>
      <w:r w:rsidRPr="009B31AB">
        <w:rPr>
          <w:b/>
        </w:rPr>
        <w:t>) i septoriozę paskowaną liści (</w:t>
      </w:r>
      <w:proofErr w:type="spellStart"/>
      <w:r w:rsidRPr="009B31AB">
        <w:rPr>
          <w:b/>
          <w:i/>
        </w:rPr>
        <w:t>Septoria</w:t>
      </w:r>
      <w:proofErr w:type="spellEnd"/>
      <w:r w:rsidRPr="009B31AB">
        <w:rPr>
          <w:b/>
          <w:i/>
        </w:rPr>
        <w:t xml:space="preserve"> </w:t>
      </w:r>
      <w:proofErr w:type="spellStart"/>
      <w:r w:rsidRPr="009B31AB">
        <w:rPr>
          <w:b/>
          <w:i/>
        </w:rPr>
        <w:t>tritici</w:t>
      </w:r>
      <w:proofErr w:type="spellEnd"/>
      <w:r w:rsidRPr="009B31AB">
        <w:rPr>
          <w:b/>
        </w:rPr>
        <w:t>) w pszenicy</w:t>
      </w:r>
    </w:p>
    <w:p w14:paraId="47AB044F" w14:textId="0D385971" w:rsidR="009F4396" w:rsidRDefault="009F4396" w:rsidP="009F4396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F4396">
        <w:rPr>
          <w:rFonts w:ascii="Times New Roman" w:eastAsia="Calibri" w:hAnsi="Times New Roman" w:cs="Times New Roman"/>
          <w:b/>
          <w:bCs/>
        </w:rPr>
        <w:t>Cel zadania:</w:t>
      </w:r>
    </w:p>
    <w:p w14:paraId="058369F8" w14:textId="77777777" w:rsidR="00692421" w:rsidRPr="00692421" w:rsidRDefault="00692421" w:rsidP="0069242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92421">
        <w:rPr>
          <w:rFonts w:ascii="Times New Roman" w:eastAsia="Calibri" w:hAnsi="Times New Roman" w:cs="Times New Roman"/>
        </w:rPr>
        <w:t>Hodowla odpornościowa jest szeroko propagowaną metodą w ograniczaniu strat plonu w pszenicy powodowanych przez rdzę brunatną (</w:t>
      </w:r>
      <w:proofErr w:type="spellStart"/>
      <w:r w:rsidRPr="00692421">
        <w:rPr>
          <w:rFonts w:ascii="Times New Roman" w:eastAsia="Calibri" w:hAnsi="Times New Roman" w:cs="Times New Roman"/>
          <w:i/>
        </w:rPr>
        <w:t>Puccinia</w:t>
      </w:r>
      <w:proofErr w:type="spellEnd"/>
      <w:r w:rsidRPr="00692421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692421">
        <w:rPr>
          <w:rFonts w:ascii="Times New Roman" w:eastAsia="Calibri" w:hAnsi="Times New Roman" w:cs="Times New Roman"/>
          <w:i/>
        </w:rPr>
        <w:t>trticina</w:t>
      </w:r>
      <w:proofErr w:type="spellEnd"/>
      <w:r w:rsidRPr="00692421">
        <w:rPr>
          <w:rFonts w:ascii="Times New Roman" w:eastAsia="Calibri" w:hAnsi="Times New Roman" w:cs="Times New Roman"/>
        </w:rPr>
        <w:t xml:space="preserve">, </w:t>
      </w:r>
      <w:r w:rsidRPr="00692421">
        <w:rPr>
          <w:rFonts w:ascii="Times New Roman" w:eastAsia="Calibri" w:hAnsi="Times New Roman" w:cs="Times New Roman"/>
          <w:i/>
        </w:rPr>
        <w:t>Pt</w:t>
      </w:r>
      <w:r w:rsidRPr="00692421">
        <w:rPr>
          <w:rFonts w:ascii="Times New Roman" w:eastAsia="Calibri" w:hAnsi="Times New Roman" w:cs="Times New Roman"/>
        </w:rPr>
        <w:t xml:space="preserve">) i septoriozę paskowaną liści (ang. </w:t>
      </w:r>
      <w:proofErr w:type="spellStart"/>
      <w:r w:rsidRPr="00692421">
        <w:rPr>
          <w:rFonts w:ascii="Times New Roman" w:eastAsia="Calibri" w:hAnsi="Times New Roman" w:cs="Times New Roman"/>
        </w:rPr>
        <w:t>Septoria</w:t>
      </w:r>
      <w:proofErr w:type="spellEnd"/>
      <w:r w:rsidRPr="00692421">
        <w:rPr>
          <w:rFonts w:ascii="Times New Roman" w:eastAsia="Calibri" w:hAnsi="Times New Roman" w:cs="Times New Roman"/>
        </w:rPr>
        <w:t xml:space="preserve"> </w:t>
      </w:r>
      <w:proofErr w:type="spellStart"/>
      <w:r w:rsidRPr="00692421">
        <w:rPr>
          <w:rFonts w:ascii="Times New Roman" w:eastAsia="Calibri" w:hAnsi="Times New Roman" w:cs="Times New Roman"/>
        </w:rPr>
        <w:t>tritici</w:t>
      </w:r>
      <w:proofErr w:type="spellEnd"/>
      <w:r w:rsidRPr="00692421">
        <w:rPr>
          <w:rFonts w:ascii="Times New Roman" w:eastAsia="Calibri" w:hAnsi="Times New Roman" w:cs="Times New Roman"/>
        </w:rPr>
        <w:t xml:space="preserve"> </w:t>
      </w:r>
      <w:proofErr w:type="spellStart"/>
      <w:r w:rsidRPr="00692421">
        <w:rPr>
          <w:rFonts w:ascii="Times New Roman" w:eastAsia="Calibri" w:hAnsi="Times New Roman" w:cs="Times New Roman"/>
        </w:rPr>
        <w:t>blotch</w:t>
      </w:r>
      <w:proofErr w:type="spellEnd"/>
      <w:r w:rsidRPr="00692421">
        <w:rPr>
          <w:rFonts w:ascii="Times New Roman" w:eastAsia="Calibri" w:hAnsi="Times New Roman" w:cs="Times New Roman"/>
        </w:rPr>
        <w:t xml:space="preserve">, STB) powodowaną przez grzyba </w:t>
      </w:r>
      <w:proofErr w:type="spellStart"/>
      <w:r w:rsidRPr="00692421">
        <w:rPr>
          <w:rFonts w:ascii="Times New Roman" w:eastAsia="Calibri" w:hAnsi="Times New Roman" w:cs="Times New Roman"/>
        </w:rPr>
        <w:t>S</w:t>
      </w:r>
      <w:r w:rsidRPr="00692421">
        <w:rPr>
          <w:rFonts w:ascii="Times New Roman" w:eastAsia="Calibri" w:hAnsi="Times New Roman" w:cs="Times New Roman"/>
          <w:i/>
        </w:rPr>
        <w:t>eptoria</w:t>
      </w:r>
      <w:proofErr w:type="spellEnd"/>
      <w:r w:rsidRPr="00692421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692421">
        <w:rPr>
          <w:rFonts w:ascii="Times New Roman" w:eastAsia="Calibri" w:hAnsi="Times New Roman" w:cs="Times New Roman"/>
          <w:i/>
        </w:rPr>
        <w:t>tritici</w:t>
      </w:r>
      <w:proofErr w:type="spellEnd"/>
      <w:r w:rsidRPr="00692421">
        <w:rPr>
          <w:rFonts w:ascii="Times New Roman" w:eastAsia="Calibri" w:hAnsi="Times New Roman" w:cs="Times New Roman"/>
          <w:i/>
        </w:rPr>
        <w:t xml:space="preserve"> </w:t>
      </w:r>
      <w:r w:rsidRPr="00692421">
        <w:rPr>
          <w:rFonts w:ascii="Times New Roman" w:eastAsia="Calibri" w:hAnsi="Times New Roman" w:cs="Times New Roman"/>
        </w:rPr>
        <w:t xml:space="preserve">(syn. </w:t>
      </w:r>
      <w:proofErr w:type="spellStart"/>
      <w:r w:rsidRPr="00692421">
        <w:rPr>
          <w:rFonts w:ascii="Times New Roman" w:eastAsia="Calibri" w:hAnsi="Times New Roman" w:cs="Times New Roman"/>
          <w:i/>
        </w:rPr>
        <w:t>Zymoseptoria</w:t>
      </w:r>
      <w:proofErr w:type="spellEnd"/>
      <w:r w:rsidRPr="00692421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692421">
        <w:rPr>
          <w:rFonts w:ascii="Times New Roman" w:eastAsia="Calibri" w:hAnsi="Times New Roman" w:cs="Times New Roman"/>
          <w:i/>
        </w:rPr>
        <w:t>tritici</w:t>
      </w:r>
      <w:proofErr w:type="spellEnd"/>
      <w:r w:rsidRPr="00692421">
        <w:rPr>
          <w:rFonts w:ascii="Times New Roman" w:eastAsia="Calibri" w:hAnsi="Times New Roman" w:cs="Times New Roman"/>
        </w:rPr>
        <w:t xml:space="preserve">, </w:t>
      </w:r>
      <w:proofErr w:type="spellStart"/>
      <w:r w:rsidRPr="00692421">
        <w:rPr>
          <w:rFonts w:ascii="Times New Roman" w:eastAsia="Calibri" w:hAnsi="Times New Roman" w:cs="Times New Roman"/>
          <w:i/>
        </w:rPr>
        <w:t>St</w:t>
      </w:r>
      <w:proofErr w:type="spellEnd"/>
      <w:r w:rsidRPr="00692421">
        <w:rPr>
          <w:rFonts w:ascii="Times New Roman" w:eastAsia="Calibri" w:hAnsi="Times New Roman" w:cs="Times New Roman"/>
        </w:rPr>
        <w:t>). W celu lepszego wykorzystania genów odporności w programach hodowlanych, konieczna jest znajomość ich występowania w obecnie uprawianych odmianach europejskich. Celem badań była próba określenia występowania genów odporności na septoriozę paskowaną i rdzę brunatną w europejskich odmianach pszenicy. Typowanie genów odporności było wsparte przez wykorzystanie markerów molekularnych zarówno blisko sprzężonych ze znanymi genami odporności jak i umożliwiających profilowanie całego genomu na potrzeby mapowania asocjacyjnego.</w:t>
      </w:r>
    </w:p>
    <w:p w14:paraId="5FAE26EC" w14:textId="371825A5" w:rsidR="009F4396" w:rsidRDefault="009F4396" w:rsidP="009F4396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BF928B9" w14:textId="06D11ACD" w:rsidR="009F4396" w:rsidRPr="00692421" w:rsidRDefault="009F4396" w:rsidP="0069242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692421">
        <w:rPr>
          <w:rFonts w:ascii="Times New Roman" w:eastAsia="Calibri" w:hAnsi="Times New Roman" w:cs="Times New Roman"/>
          <w:b/>
          <w:bCs/>
        </w:rPr>
        <w:t>Wyniki:</w:t>
      </w:r>
    </w:p>
    <w:p w14:paraId="098934AB" w14:textId="77777777" w:rsidR="00692421" w:rsidRPr="00692421" w:rsidRDefault="00692421" w:rsidP="006924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2421">
        <w:rPr>
          <w:rFonts w:ascii="Times New Roman" w:hAnsi="Times New Roman" w:cs="Times New Roman"/>
        </w:rPr>
        <w:t xml:space="preserve">Analiza reakcji na zakażenie 18 </w:t>
      </w:r>
      <w:proofErr w:type="spellStart"/>
      <w:r w:rsidRPr="00692421">
        <w:rPr>
          <w:rFonts w:ascii="Times New Roman" w:hAnsi="Times New Roman" w:cs="Times New Roman"/>
        </w:rPr>
        <w:t>izolatami</w:t>
      </w:r>
      <w:proofErr w:type="spellEnd"/>
      <w:r w:rsidRPr="00692421">
        <w:rPr>
          <w:rFonts w:ascii="Times New Roman" w:hAnsi="Times New Roman" w:cs="Times New Roman"/>
        </w:rPr>
        <w:t xml:space="preserve"> </w:t>
      </w:r>
      <w:r w:rsidRPr="00692421">
        <w:rPr>
          <w:rFonts w:ascii="Times New Roman" w:hAnsi="Times New Roman" w:cs="Times New Roman"/>
          <w:i/>
        </w:rPr>
        <w:t>Pt</w:t>
      </w:r>
      <w:r w:rsidRPr="00692421">
        <w:rPr>
          <w:rFonts w:ascii="Times New Roman" w:hAnsi="Times New Roman" w:cs="Times New Roman"/>
        </w:rPr>
        <w:t xml:space="preserve"> odmian i linii pszenicy, pozwoliła na zidentyfikowanie obiektów odpornych na wszystkie badane </w:t>
      </w:r>
      <w:proofErr w:type="spellStart"/>
      <w:r w:rsidRPr="00692421">
        <w:rPr>
          <w:rFonts w:ascii="Times New Roman" w:hAnsi="Times New Roman" w:cs="Times New Roman"/>
        </w:rPr>
        <w:t>izolaty</w:t>
      </w:r>
      <w:proofErr w:type="spellEnd"/>
      <w:r w:rsidRPr="00692421">
        <w:rPr>
          <w:rFonts w:ascii="Times New Roman" w:hAnsi="Times New Roman" w:cs="Times New Roman"/>
        </w:rPr>
        <w:t xml:space="preserve">: </w:t>
      </w:r>
      <w:proofErr w:type="spellStart"/>
      <w:r w:rsidRPr="00692421">
        <w:rPr>
          <w:rFonts w:ascii="Times New Roman" w:hAnsi="Times New Roman" w:cs="Times New Roman"/>
        </w:rPr>
        <w:t>Capone</w:t>
      </w:r>
      <w:proofErr w:type="spellEnd"/>
      <w:r w:rsidRPr="00692421">
        <w:rPr>
          <w:rFonts w:ascii="Times New Roman" w:hAnsi="Times New Roman" w:cs="Times New Roman"/>
        </w:rPr>
        <w:t xml:space="preserve">, </w:t>
      </w:r>
      <w:proofErr w:type="spellStart"/>
      <w:r w:rsidRPr="00692421">
        <w:rPr>
          <w:rFonts w:ascii="Times New Roman" w:hAnsi="Times New Roman" w:cs="Times New Roman"/>
        </w:rPr>
        <w:t>Caroll</w:t>
      </w:r>
      <w:proofErr w:type="spellEnd"/>
      <w:r w:rsidRPr="00692421">
        <w:rPr>
          <w:rFonts w:ascii="Times New Roman" w:hAnsi="Times New Roman" w:cs="Times New Roman"/>
        </w:rPr>
        <w:t xml:space="preserve">, </w:t>
      </w:r>
      <w:proofErr w:type="spellStart"/>
      <w:r w:rsidRPr="00692421">
        <w:rPr>
          <w:rFonts w:ascii="Times New Roman" w:hAnsi="Times New Roman" w:cs="Times New Roman"/>
        </w:rPr>
        <w:t>Desamo</w:t>
      </w:r>
      <w:proofErr w:type="spellEnd"/>
      <w:r w:rsidRPr="00692421">
        <w:rPr>
          <w:rFonts w:ascii="Times New Roman" w:hAnsi="Times New Roman" w:cs="Times New Roman"/>
        </w:rPr>
        <w:t xml:space="preserve">, Lear, </w:t>
      </w:r>
      <w:proofErr w:type="spellStart"/>
      <w:r w:rsidRPr="00692421">
        <w:rPr>
          <w:rFonts w:ascii="Times New Roman" w:hAnsi="Times New Roman" w:cs="Times New Roman"/>
        </w:rPr>
        <w:t>Lithium</w:t>
      </w:r>
      <w:proofErr w:type="spellEnd"/>
      <w:r w:rsidRPr="00692421">
        <w:rPr>
          <w:rFonts w:ascii="Times New Roman" w:hAnsi="Times New Roman" w:cs="Times New Roman"/>
        </w:rPr>
        <w:t xml:space="preserve">, Memory, </w:t>
      </w:r>
      <w:proofErr w:type="spellStart"/>
      <w:r w:rsidRPr="00692421">
        <w:rPr>
          <w:rFonts w:ascii="Times New Roman" w:hAnsi="Times New Roman" w:cs="Times New Roman"/>
        </w:rPr>
        <w:t>Tentation</w:t>
      </w:r>
      <w:proofErr w:type="spellEnd"/>
      <w:r w:rsidRPr="00692421">
        <w:rPr>
          <w:rFonts w:ascii="Times New Roman" w:hAnsi="Times New Roman" w:cs="Times New Roman"/>
        </w:rPr>
        <w:t xml:space="preserve">, </w:t>
      </w:r>
      <w:proofErr w:type="spellStart"/>
      <w:r w:rsidRPr="00692421">
        <w:rPr>
          <w:rFonts w:ascii="Times New Roman" w:hAnsi="Times New Roman" w:cs="Times New Roman"/>
        </w:rPr>
        <w:t>Waxy</w:t>
      </w:r>
      <w:proofErr w:type="spellEnd"/>
      <w:r w:rsidRPr="00692421">
        <w:rPr>
          <w:rFonts w:ascii="Times New Roman" w:hAnsi="Times New Roman" w:cs="Times New Roman"/>
        </w:rPr>
        <w:t xml:space="preserve"> i </w:t>
      </w:r>
      <w:proofErr w:type="spellStart"/>
      <w:r w:rsidRPr="00692421">
        <w:rPr>
          <w:rFonts w:ascii="Times New Roman" w:hAnsi="Times New Roman" w:cs="Times New Roman"/>
        </w:rPr>
        <w:t>Xantippe</w:t>
      </w:r>
      <w:proofErr w:type="spellEnd"/>
      <w:r w:rsidRPr="00692421">
        <w:rPr>
          <w:rFonts w:ascii="Times New Roman" w:hAnsi="Times New Roman" w:cs="Times New Roman"/>
        </w:rPr>
        <w:t xml:space="preserve"> oraz linie blisko-</w:t>
      </w:r>
      <w:proofErr w:type="spellStart"/>
      <w:r w:rsidRPr="00692421">
        <w:rPr>
          <w:rFonts w:ascii="Times New Roman" w:hAnsi="Times New Roman" w:cs="Times New Roman"/>
        </w:rPr>
        <w:t>izogeniczne</w:t>
      </w:r>
      <w:proofErr w:type="spellEnd"/>
      <w:r w:rsidRPr="00692421">
        <w:rPr>
          <w:rFonts w:ascii="Times New Roman" w:hAnsi="Times New Roman" w:cs="Times New Roman"/>
        </w:rPr>
        <w:t xml:space="preserve"> odm. Thatcher z genami </w:t>
      </w:r>
      <w:r w:rsidRPr="00692421">
        <w:rPr>
          <w:rFonts w:ascii="Times New Roman" w:hAnsi="Times New Roman" w:cs="Times New Roman"/>
          <w:i/>
        </w:rPr>
        <w:t>Lr9</w:t>
      </w:r>
      <w:r w:rsidRPr="00692421">
        <w:rPr>
          <w:rFonts w:ascii="Times New Roman" w:hAnsi="Times New Roman" w:cs="Times New Roman"/>
        </w:rPr>
        <w:t xml:space="preserve"> i </w:t>
      </w:r>
      <w:r w:rsidRPr="00692421">
        <w:rPr>
          <w:rFonts w:ascii="Times New Roman" w:hAnsi="Times New Roman" w:cs="Times New Roman"/>
          <w:i/>
        </w:rPr>
        <w:t>Lr19</w:t>
      </w:r>
      <w:r w:rsidRPr="00692421">
        <w:rPr>
          <w:rFonts w:ascii="Times New Roman" w:hAnsi="Times New Roman" w:cs="Times New Roman"/>
        </w:rPr>
        <w:t xml:space="preserve">. </w:t>
      </w:r>
    </w:p>
    <w:p w14:paraId="6FB632B9" w14:textId="01DDC4E5" w:rsidR="00692421" w:rsidRPr="00692421" w:rsidRDefault="00692421" w:rsidP="006924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2421">
        <w:rPr>
          <w:rFonts w:ascii="Times New Roman" w:hAnsi="Times New Roman" w:cs="Times New Roman"/>
        </w:rPr>
        <w:t>W wyniku przeprowadzonej analizy GWAS</w:t>
      </w:r>
      <w:r w:rsidR="00CF09A2">
        <w:rPr>
          <w:rFonts w:ascii="Times New Roman" w:hAnsi="Times New Roman" w:cs="Times New Roman"/>
        </w:rPr>
        <w:t xml:space="preserve"> </w:t>
      </w:r>
      <w:r w:rsidR="00CF09A2" w:rsidRPr="00CF09A2">
        <w:rPr>
          <w:rFonts w:ascii="Times New Roman" w:hAnsi="Times New Roman" w:cs="Times New Roman"/>
        </w:rPr>
        <w:t xml:space="preserve">(ang. </w:t>
      </w:r>
      <w:proofErr w:type="spellStart"/>
      <w:r w:rsidR="00CF09A2" w:rsidRPr="00CF09A2">
        <w:rPr>
          <w:rFonts w:ascii="Times New Roman" w:hAnsi="Times New Roman" w:cs="Times New Roman"/>
        </w:rPr>
        <w:t>Genome-Wide</w:t>
      </w:r>
      <w:proofErr w:type="spellEnd"/>
      <w:r w:rsidR="00CF09A2" w:rsidRPr="00CF09A2">
        <w:rPr>
          <w:rFonts w:ascii="Times New Roman" w:hAnsi="Times New Roman" w:cs="Times New Roman"/>
        </w:rPr>
        <w:t xml:space="preserve"> </w:t>
      </w:r>
      <w:proofErr w:type="spellStart"/>
      <w:r w:rsidR="00CF09A2" w:rsidRPr="00CF09A2">
        <w:rPr>
          <w:rFonts w:ascii="Times New Roman" w:hAnsi="Times New Roman" w:cs="Times New Roman"/>
        </w:rPr>
        <w:t>Association</w:t>
      </w:r>
      <w:proofErr w:type="spellEnd"/>
      <w:r w:rsidR="00CF09A2" w:rsidRPr="00CF09A2">
        <w:rPr>
          <w:rFonts w:ascii="Times New Roman" w:hAnsi="Times New Roman" w:cs="Times New Roman"/>
        </w:rPr>
        <w:t xml:space="preserve"> </w:t>
      </w:r>
      <w:proofErr w:type="spellStart"/>
      <w:r w:rsidR="00CF09A2" w:rsidRPr="00CF09A2">
        <w:rPr>
          <w:rFonts w:ascii="Times New Roman" w:hAnsi="Times New Roman" w:cs="Times New Roman"/>
        </w:rPr>
        <w:t>Studies</w:t>
      </w:r>
      <w:proofErr w:type="spellEnd"/>
      <w:r w:rsidR="00CF09A2" w:rsidRPr="00CF09A2">
        <w:rPr>
          <w:rFonts w:ascii="Times New Roman" w:hAnsi="Times New Roman" w:cs="Times New Roman"/>
        </w:rPr>
        <w:t xml:space="preserve">) </w:t>
      </w:r>
      <w:r w:rsidRPr="00692421">
        <w:rPr>
          <w:rFonts w:ascii="Times New Roman" w:hAnsi="Times New Roman" w:cs="Times New Roman"/>
        </w:rPr>
        <w:t xml:space="preserve"> wykryto 354 istotnych asocjacji między markerem i cechą odporności zestawu 179 odmian/linii pszenicy testowanych przez 18 </w:t>
      </w:r>
      <w:proofErr w:type="spellStart"/>
      <w:r w:rsidRPr="00692421">
        <w:rPr>
          <w:rFonts w:ascii="Times New Roman" w:hAnsi="Times New Roman" w:cs="Times New Roman"/>
        </w:rPr>
        <w:t>izolatów</w:t>
      </w:r>
      <w:proofErr w:type="spellEnd"/>
      <w:r w:rsidRPr="00692421">
        <w:rPr>
          <w:rFonts w:ascii="Times New Roman" w:hAnsi="Times New Roman" w:cs="Times New Roman"/>
        </w:rPr>
        <w:t xml:space="preserve"> </w:t>
      </w:r>
      <w:r w:rsidRPr="00692421">
        <w:rPr>
          <w:rFonts w:ascii="Times New Roman" w:hAnsi="Times New Roman" w:cs="Times New Roman"/>
          <w:i/>
        </w:rPr>
        <w:t xml:space="preserve">P. </w:t>
      </w:r>
      <w:proofErr w:type="spellStart"/>
      <w:r w:rsidRPr="00692421">
        <w:rPr>
          <w:rFonts w:ascii="Times New Roman" w:hAnsi="Times New Roman" w:cs="Times New Roman"/>
          <w:i/>
        </w:rPr>
        <w:t>triticina</w:t>
      </w:r>
      <w:proofErr w:type="spellEnd"/>
      <w:r w:rsidRPr="00692421">
        <w:rPr>
          <w:rFonts w:ascii="Times New Roman" w:hAnsi="Times New Roman" w:cs="Times New Roman"/>
        </w:rPr>
        <w:t xml:space="preserve"> oraz przy pomocy specyficznych markerów zidentyfikowano 9 genów odporności w odmianach pszenicy ozimej. Łącznie, przeprowadzone analizy umożliwiły wykrycie (postulowanie) wśród badanych odmian następujących genów odporności (liczba odmian z danym genem </w:t>
      </w:r>
      <w:r w:rsidRPr="00692421">
        <w:rPr>
          <w:rFonts w:ascii="Times New Roman" w:hAnsi="Times New Roman" w:cs="Times New Roman"/>
          <w:i/>
        </w:rPr>
        <w:t>Lr</w:t>
      </w:r>
      <w:r w:rsidRPr="00692421">
        <w:rPr>
          <w:rFonts w:ascii="Times New Roman" w:hAnsi="Times New Roman" w:cs="Times New Roman"/>
        </w:rPr>
        <w:t xml:space="preserve">): </w:t>
      </w:r>
      <w:r w:rsidRPr="00692421">
        <w:rPr>
          <w:rFonts w:ascii="Times New Roman" w:hAnsi="Times New Roman" w:cs="Times New Roman"/>
          <w:i/>
        </w:rPr>
        <w:t>Lr3bg</w:t>
      </w:r>
      <w:r w:rsidRPr="00692421">
        <w:rPr>
          <w:rFonts w:ascii="Times New Roman" w:hAnsi="Times New Roman" w:cs="Times New Roman"/>
        </w:rPr>
        <w:t xml:space="preserve"> (20), </w:t>
      </w:r>
      <w:r w:rsidRPr="00692421">
        <w:rPr>
          <w:rFonts w:ascii="Times New Roman" w:hAnsi="Times New Roman" w:cs="Times New Roman"/>
          <w:i/>
        </w:rPr>
        <w:t xml:space="preserve">Lr20 </w:t>
      </w:r>
      <w:r w:rsidRPr="00692421">
        <w:rPr>
          <w:rFonts w:ascii="Times New Roman" w:hAnsi="Times New Roman" w:cs="Times New Roman"/>
        </w:rPr>
        <w:t xml:space="preserve">(1), </w:t>
      </w:r>
      <w:r w:rsidRPr="00692421">
        <w:rPr>
          <w:rFonts w:ascii="Times New Roman" w:hAnsi="Times New Roman" w:cs="Times New Roman"/>
          <w:i/>
        </w:rPr>
        <w:t>Lr24</w:t>
      </w:r>
      <w:r w:rsidRPr="00692421">
        <w:rPr>
          <w:rFonts w:ascii="Times New Roman" w:hAnsi="Times New Roman" w:cs="Times New Roman"/>
        </w:rPr>
        <w:t xml:space="preserve"> (10), </w:t>
      </w:r>
      <w:r w:rsidRPr="00692421">
        <w:rPr>
          <w:rFonts w:ascii="Times New Roman" w:hAnsi="Times New Roman" w:cs="Times New Roman"/>
          <w:i/>
        </w:rPr>
        <w:t>Lr26</w:t>
      </w:r>
      <w:r w:rsidRPr="00692421">
        <w:rPr>
          <w:rFonts w:ascii="Times New Roman" w:hAnsi="Times New Roman" w:cs="Times New Roman"/>
        </w:rPr>
        <w:t xml:space="preserve"> (22), </w:t>
      </w:r>
      <w:r w:rsidRPr="00692421">
        <w:rPr>
          <w:rFonts w:ascii="Times New Roman" w:hAnsi="Times New Roman" w:cs="Times New Roman"/>
          <w:i/>
        </w:rPr>
        <w:t>Lr28</w:t>
      </w:r>
      <w:r w:rsidRPr="00692421">
        <w:rPr>
          <w:rFonts w:ascii="Times New Roman" w:hAnsi="Times New Roman" w:cs="Times New Roman"/>
        </w:rPr>
        <w:t xml:space="preserve"> (21), </w:t>
      </w:r>
      <w:r w:rsidRPr="00692421">
        <w:rPr>
          <w:rFonts w:ascii="Times New Roman" w:hAnsi="Times New Roman" w:cs="Times New Roman"/>
          <w:i/>
        </w:rPr>
        <w:t>Lr34</w:t>
      </w:r>
      <w:r w:rsidRPr="00692421">
        <w:rPr>
          <w:rFonts w:ascii="Times New Roman" w:hAnsi="Times New Roman" w:cs="Times New Roman"/>
        </w:rPr>
        <w:t xml:space="preserve"> (1), </w:t>
      </w:r>
      <w:r w:rsidRPr="00692421">
        <w:rPr>
          <w:rFonts w:ascii="Times New Roman" w:hAnsi="Times New Roman" w:cs="Times New Roman"/>
          <w:i/>
        </w:rPr>
        <w:t>Lr37</w:t>
      </w:r>
      <w:r w:rsidRPr="00692421">
        <w:rPr>
          <w:rFonts w:ascii="Times New Roman" w:hAnsi="Times New Roman" w:cs="Times New Roman"/>
        </w:rPr>
        <w:t xml:space="preserve"> (56), </w:t>
      </w:r>
      <w:r w:rsidRPr="00692421">
        <w:rPr>
          <w:rFonts w:ascii="Times New Roman" w:hAnsi="Times New Roman" w:cs="Times New Roman"/>
          <w:i/>
        </w:rPr>
        <w:t>Lr39</w:t>
      </w:r>
      <w:r w:rsidRPr="00692421">
        <w:rPr>
          <w:rFonts w:ascii="Times New Roman" w:hAnsi="Times New Roman" w:cs="Times New Roman"/>
        </w:rPr>
        <w:t xml:space="preserve"> (13) i </w:t>
      </w:r>
      <w:r w:rsidRPr="00692421">
        <w:rPr>
          <w:rFonts w:ascii="Times New Roman" w:hAnsi="Times New Roman" w:cs="Times New Roman"/>
          <w:i/>
        </w:rPr>
        <w:t>Lr51</w:t>
      </w:r>
      <w:r w:rsidRPr="00692421">
        <w:rPr>
          <w:rFonts w:ascii="Times New Roman" w:hAnsi="Times New Roman" w:cs="Times New Roman"/>
        </w:rPr>
        <w:t xml:space="preserve"> (1). Natomiast mimo potwierdzonej specyficzności markerów molekularnych, w żadnej z badanych odmian nie wykryto genów </w:t>
      </w:r>
      <w:r w:rsidRPr="00692421">
        <w:rPr>
          <w:rFonts w:ascii="Times New Roman" w:hAnsi="Times New Roman" w:cs="Times New Roman"/>
          <w:i/>
        </w:rPr>
        <w:t>Lr19</w:t>
      </w:r>
      <w:r w:rsidRPr="00692421">
        <w:rPr>
          <w:rFonts w:ascii="Times New Roman" w:hAnsi="Times New Roman" w:cs="Times New Roman"/>
        </w:rPr>
        <w:t xml:space="preserve">, </w:t>
      </w:r>
      <w:r w:rsidRPr="00692421">
        <w:rPr>
          <w:rFonts w:ascii="Times New Roman" w:hAnsi="Times New Roman" w:cs="Times New Roman"/>
          <w:i/>
        </w:rPr>
        <w:t>Lr35</w:t>
      </w:r>
      <w:r w:rsidRPr="00692421">
        <w:rPr>
          <w:rFonts w:ascii="Times New Roman" w:hAnsi="Times New Roman" w:cs="Times New Roman"/>
        </w:rPr>
        <w:t xml:space="preserve"> i </w:t>
      </w:r>
      <w:r w:rsidRPr="00692421">
        <w:rPr>
          <w:rFonts w:ascii="Times New Roman" w:hAnsi="Times New Roman" w:cs="Times New Roman"/>
          <w:i/>
        </w:rPr>
        <w:t>Lr47</w:t>
      </w:r>
      <w:r w:rsidRPr="00692421">
        <w:rPr>
          <w:rFonts w:ascii="Times New Roman" w:hAnsi="Times New Roman" w:cs="Times New Roman"/>
        </w:rPr>
        <w:t>.</w:t>
      </w:r>
    </w:p>
    <w:p w14:paraId="21D4579F" w14:textId="5FC5108B" w:rsidR="00063C02" w:rsidRPr="00063C02" w:rsidRDefault="00063C02" w:rsidP="00063C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3C02">
        <w:rPr>
          <w:rFonts w:ascii="Times New Roman" w:hAnsi="Times New Roman" w:cs="Times New Roman"/>
        </w:rPr>
        <w:t xml:space="preserve">W przypadku analizy łącznej oceny reakcji na zakażanie </w:t>
      </w:r>
      <w:proofErr w:type="spellStart"/>
      <w:r w:rsidRPr="00063C02">
        <w:rPr>
          <w:rFonts w:ascii="Times New Roman" w:hAnsi="Times New Roman" w:cs="Times New Roman"/>
        </w:rPr>
        <w:t>izolatami</w:t>
      </w:r>
      <w:proofErr w:type="spellEnd"/>
      <w:r w:rsidRPr="00063C02">
        <w:rPr>
          <w:rFonts w:ascii="Times New Roman" w:hAnsi="Times New Roman" w:cs="Times New Roman"/>
        </w:rPr>
        <w:t xml:space="preserve"> </w:t>
      </w:r>
      <w:proofErr w:type="spellStart"/>
      <w:r w:rsidRPr="00063C02">
        <w:rPr>
          <w:rFonts w:ascii="Times New Roman" w:hAnsi="Times New Roman" w:cs="Times New Roman"/>
          <w:i/>
        </w:rPr>
        <w:t>St</w:t>
      </w:r>
      <w:proofErr w:type="spellEnd"/>
      <w:r w:rsidRPr="00063C02">
        <w:rPr>
          <w:rFonts w:ascii="Times New Roman" w:hAnsi="Times New Roman" w:cs="Times New Roman"/>
        </w:rPr>
        <w:t>, nie stwierdzono występowania genotypów, które nie byłyby porażone przez STB (parametry chorobowe</w:t>
      </w:r>
      <w:r w:rsidR="00B458D9">
        <w:rPr>
          <w:rFonts w:ascii="Times New Roman" w:hAnsi="Times New Roman" w:cs="Times New Roman"/>
        </w:rPr>
        <w:t>:</w:t>
      </w:r>
      <w:r w:rsidRPr="00063C02">
        <w:rPr>
          <w:rFonts w:ascii="Times New Roman" w:hAnsi="Times New Roman" w:cs="Times New Roman"/>
        </w:rPr>
        <w:t xml:space="preserve"> </w:t>
      </w:r>
      <w:r w:rsidR="00B458D9" w:rsidRPr="00B458D9">
        <w:rPr>
          <w:rFonts w:ascii="Times New Roman" w:hAnsi="Times New Roman" w:cs="Times New Roman"/>
        </w:rPr>
        <w:t xml:space="preserve">procent powierzchni liścia pokrytego nekrozą </w:t>
      </w:r>
      <w:r w:rsidR="00B458D9">
        <w:rPr>
          <w:rFonts w:ascii="Times New Roman" w:hAnsi="Times New Roman" w:cs="Times New Roman"/>
        </w:rPr>
        <w:t xml:space="preserve">- </w:t>
      </w:r>
      <w:r w:rsidR="00B458D9" w:rsidRPr="00B458D9">
        <w:rPr>
          <w:rFonts w:ascii="Times New Roman" w:hAnsi="Times New Roman" w:cs="Times New Roman"/>
        </w:rPr>
        <w:t xml:space="preserve">NEC oraz </w:t>
      </w:r>
      <w:proofErr w:type="spellStart"/>
      <w:r w:rsidR="00B458D9" w:rsidRPr="00B458D9">
        <w:rPr>
          <w:rFonts w:ascii="Times New Roman" w:hAnsi="Times New Roman" w:cs="Times New Roman"/>
        </w:rPr>
        <w:t>piknidiami</w:t>
      </w:r>
      <w:proofErr w:type="spellEnd"/>
      <w:r w:rsidR="00B458D9" w:rsidRPr="00B458D9">
        <w:rPr>
          <w:rFonts w:ascii="Times New Roman" w:hAnsi="Times New Roman" w:cs="Times New Roman"/>
        </w:rPr>
        <w:t xml:space="preserve"> </w:t>
      </w:r>
      <w:r w:rsidR="00B458D9">
        <w:rPr>
          <w:rFonts w:ascii="Times New Roman" w:hAnsi="Times New Roman" w:cs="Times New Roman"/>
        </w:rPr>
        <w:t xml:space="preserve">- </w:t>
      </w:r>
      <w:r w:rsidR="00B458D9" w:rsidRPr="00B458D9">
        <w:rPr>
          <w:rFonts w:ascii="Times New Roman" w:hAnsi="Times New Roman" w:cs="Times New Roman"/>
        </w:rPr>
        <w:t>PYC</w:t>
      </w:r>
      <w:r w:rsidRPr="00063C02">
        <w:rPr>
          <w:rFonts w:ascii="Times New Roman" w:hAnsi="Times New Roman" w:cs="Times New Roman"/>
        </w:rPr>
        <w:t xml:space="preserve">). Wytypowano 10 najodporniejszych obiektów: TE9111, </w:t>
      </w:r>
      <w:proofErr w:type="spellStart"/>
      <w:r w:rsidRPr="00063C02">
        <w:rPr>
          <w:rFonts w:ascii="Times New Roman" w:hAnsi="Times New Roman" w:cs="Times New Roman"/>
        </w:rPr>
        <w:t>Intro</w:t>
      </w:r>
      <w:proofErr w:type="spellEnd"/>
      <w:r w:rsidRPr="00063C02">
        <w:rPr>
          <w:rFonts w:ascii="Times New Roman" w:hAnsi="Times New Roman" w:cs="Times New Roman"/>
        </w:rPr>
        <w:t xml:space="preserve">, Lear, Tabasco, </w:t>
      </w:r>
      <w:proofErr w:type="spellStart"/>
      <w:r w:rsidRPr="00063C02">
        <w:rPr>
          <w:rFonts w:ascii="Times New Roman" w:hAnsi="Times New Roman" w:cs="Times New Roman"/>
        </w:rPr>
        <w:t>Capone</w:t>
      </w:r>
      <w:proofErr w:type="spellEnd"/>
      <w:r w:rsidRPr="00063C02">
        <w:rPr>
          <w:rFonts w:ascii="Times New Roman" w:hAnsi="Times New Roman" w:cs="Times New Roman"/>
        </w:rPr>
        <w:t xml:space="preserve">, Julius, </w:t>
      </w:r>
      <w:proofErr w:type="spellStart"/>
      <w:r w:rsidRPr="00063C02">
        <w:rPr>
          <w:rFonts w:ascii="Times New Roman" w:hAnsi="Times New Roman" w:cs="Times New Roman"/>
        </w:rPr>
        <w:t>Desamo</w:t>
      </w:r>
      <w:proofErr w:type="spellEnd"/>
      <w:r w:rsidRPr="00063C02">
        <w:rPr>
          <w:rFonts w:ascii="Times New Roman" w:hAnsi="Times New Roman" w:cs="Times New Roman"/>
        </w:rPr>
        <w:t xml:space="preserve">, </w:t>
      </w:r>
      <w:proofErr w:type="spellStart"/>
      <w:r w:rsidRPr="00063C02">
        <w:rPr>
          <w:rFonts w:ascii="Times New Roman" w:hAnsi="Times New Roman" w:cs="Times New Roman"/>
        </w:rPr>
        <w:t>Solitar</w:t>
      </w:r>
      <w:proofErr w:type="spellEnd"/>
      <w:r w:rsidRPr="00063C02">
        <w:rPr>
          <w:rFonts w:ascii="Times New Roman" w:hAnsi="Times New Roman" w:cs="Times New Roman"/>
        </w:rPr>
        <w:t xml:space="preserve">, </w:t>
      </w:r>
      <w:proofErr w:type="spellStart"/>
      <w:r w:rsidRPr="00063C02">
        <w:rPr>
          <w:rFonts w:ascii="Times New Roman" w:hAnsi="Times New Roman" w:cs="Times New Roman"/>
        </w:rPr>
        <w:t>Mandub</w:t>
      </w:r>
      <w:proofErr w:type="spellEnd"/>
      <w:r w:rsidRPr="00063C02">
        <w:rPr>
          <w:rFonts w:ascii="Times New Roman" w:hAnsi="Times New Roman" w:cs="Times New Roman"/>
        </w:rPr>
        <w:t xml:space="preserve"> i M3 </w:t>
      </w:r>
      <w:proofErr w:type="spellStart"/>
      <w:r w:rsidRPr="00063C02">
        <w:rPr>
          <w:rFonts w:ascii="Times New Roman" w:hAnsi="Times New Roman" w:cs="Times New Roman"/>
        </w:rPr>
        <w:t>synthetic</w:t>
      </w:r>
      <w:proofErr w:type="spellEnd"/>
      <w:r w:rsidRPr="00063C02">
        <w:rPr>
          <w:rFonts w:ascii="Times New Roman" w:hAnsi="Times New Roman" w:cs="Times New Roman"/>
        </w:rPr>
        <w:t xml:space="preserve"> (W-7976).</w:t>
      </w:r>
    </w:p>
    <w:p w14:paraId="1B12F8A2" w14:textId="11408B9C" w:rsidR="009F4396" w:rsidRPr="00063C02" w:rsidRDefault="00063C02" w:rsidP="00063C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3C02">
        <w:rPr>
          <w:rFonts w:ascii="Times New Roman" w:hAnsi="Times New Roman" w:cs="Times New Roman"/>
        </w:rPr>
        <w:t xml:space="preserve">W wyniku zastosowania metody LMM przy uwzględnieniu struktury populacji wykryto 690 istotnych (-log10(p)≥7,3) asocjacji marker-cecha (MTA), odnoszących się do parametrów chorobowych (NEC i PYC) ocenianych na odmianach i liniach pszenicy po zakażaniu pojedynczymi </w:t>
      </w:r>
      <w:proofErr w:type="spellStart"/>
      <w:r w:rsidRPr="00063C02">
        <w:rPr>
          <w:rFonts w:ascii="Times New Roman" w:hAnsi="Times New Roman" w:cs="Times New Roman"/>
        </w:rPr>
        <w:t>izolatami</w:t>
      </w:r>
      <w:proofErr w:type="spellEnd"/>
      <w:r w:rsidRPr="00063C02">
        <w:rPr>
          <w:rFonts w:ascii="Times New Roman" w:hAnsi="Times New Roman" w:cs="Times New Roman"/>
        </w:rPr>
        <w:t xml:space="preserve"> </w:t>
      </w:r>
      <w:r w:rsidRPr="00063C02">
        <w:rPr>
          <w:rFonts w:ascii="Times New Roman" w:hAnsi="Times New Roman" w:cs="Times New Roman"/>
          <w:i/>
        </w:rPr>
        <w:t xml:space="preserve">S. </w:t>
      </w:r>
      <w:proofErr w:type="spellStart"/>
      <w:r w:rsidRPr="00063C02">
        <w:rPr>
          <w:rFonts w:ascii="Times New Roman" w:hAnsi="Times New Roman" w:cs="Times New Roman"/>
          <w:i/>
        </w:rPr>
        <w:t>tritici</w:t>
      </w:r>
      <w:proofErr w:type="spellEnd"/>
      <w:r w:rsidRPr="00063C02">
        <w:rPr>
          <w:rFonts w:ascii="Times New Roman" w:hAnsi="Times New Roman" w:cs="Times New Roman"/>
        </w:rPr>
        <w:t>. Wśród wykrytych MTA tylko 20 wyjaśniało zmienność związaną z badanymi parametrami chorobowymi (NEC i PYC) od 3% do 8,8% i było skupionych w sześciu lokalizacjach na chromosomach 2B, 2D, 6A, 7A i 7D.</w:t>
      </w:r>
    </w:p>
    <w:p w14:paraId="4A5D82FA" w14:textId="77777777" w:rsidR="009F4396" w:rsidRDefault="009F4396" w:rsidP="009F439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B0CDE85" w14:textId="1D39B83B" w:rsidR="009F4396" w:rsidRDefault="009F4396" w:rsidP="009F439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E0DB4">
        <w:rPr>
          <w:rFonts w:ascii="Times New Roman" w:hAnsi="Times New Roman" w:cs="Times New Roman"/>
          <w:b/>
          <w:bCs/>
        </w:rPr>
        <w:t>Wnioski:</w:t>
      </w:r>
    </w:p>
    <w:p w14:paraId="4B802364" w14:textId="33D72D21" w:rsidR="009F4396" w:rsidRDefault="00063C02" w:rsidP="009F43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Nieznaczna liczba zidentyfikowanych w pszenicy ozimej genów odporności na rdzę liściową świadczy o stosunkowo wąskiej bazie genetycznej wykorzystywanej w hodowli odpornościowej.</w:t>
      </w:r>
    </w:p>
    <w:p w14:paraId="60EB1DB6" w14:textId="6F58E8FE" w:rsidR="00CF09A2" w:rsidRDefault="00CF09A2" w:rsidP="009F43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żadnej z badanych odmian nie wykryto efektywnego genu odporności na rdzę brunatna </w:t>
      </w:r>
      <w:r w:rsidRPr="00CF09A2">
        <w:rPr>
          <w:rFonts w:ascii="Times New Roman" w:hAnsi="Times New Roman" w:cs="Times New Roman"/>
          <w:i/>
          <w:iCs/>
        </w:rPr>
        <w:t>Lr19</w:t>
      </w:r>
      <w:r>
        <w:rPr>
          <w:rFonts w:ascii="Times New Roman" w:hAnsi="Times New Roman" w:cs="Times New Roman"/>
        </w:rPr>
        <w:t>.</w:t>
      </w:r>
    </w:p>
    <w:p w14:paraId="07B19215" w14:textId="7BB8E5B9" w:rsidR="00063C02" w:rsidRDefault="00CF09A2" w:rsidP="009F43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63C02">
        <w:rPr>
          <w:rFonts w:ascii="Times New Roman" w:hAnsi="Times New Roman" w:cs="Times New Roman"/>
        </w:rPr>
        <w:t>. Odporność w pszenicy na septoriozę paskowaną ma głównie charakter ilościowy</w:t>
      </w:r>
      <w:r w:rsidR="004242A1">
        <w:rPr>
          <w:rFonts w:ascii="Times New Roman" w:hAnsi="Times New Roman" w:cs="Times New Roman"/>
        </w:rPr>
        <w:t>, która jest</w:t>
      </w:r>
      <w:r w:rsidR="00063C02">
        <w:rPr>
          <w:rFonts w:ascii="Times New Roman" w:hAnsi="Times New Roman" w:cs="Times New Roman"/>
        </w:rPr>
        <w:t xml:space="preserve"> warunkowan</w:t>
      </w:r>
      <w:r w:rsidR="004242A1">
        <w:rPr>
          <w:rFonts w:ascii="Times New Roman" w:hAnsi="Times New Roman" w:cs="Times New Roman"/>
        </w:rPr>
        <w:t>a</w:t>
      </w:r>
      <w:r w:rsidR="00063C02">
        <w:rPr>
          <w:rFonts w:ascii="Times New Roman" w:hAnsi="Times New Roman" w:cs="Times New Roman"/>
        </w:rPr>
        <w:t xml:space="preserve"> przez </w:t>
      </w:r>
      <w:proofErr w:type="spellStart"/>
      <w:r w:rsidR="00063C02">
        <w:rPr>
          <w:rFonts w:ascii="Times New Roman" w:hAnsi="Times New Roman" w:cs="Times New Roman"/>
        </w:rPr>
        <w:t>loci</w:t>
      </w:r>
      <w:proofErr w:type="spellEnd"/>
      <w:r w:rsidR="00063C02">
        <w:rPr>
          <w:rFonts w:ascii="Times New Roman" w:hAnsi="Times New Roman" w:cs="Times New Roman"/>
        </w:rPr>
        <w:t xml:space="preserve"> o niewielkim efekcie fenotypowym.</w:t>
      </w:r>
    </w:p>
    <w:p w14:paraId="0BB450D2" w14:textId="3F72EDF9" w:rsidR="00063C02" w:rsidRDefault="00CF09A2" w:rsidP="009F43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63C02">
        <w:rPr>
          <w:rFonts w:ascii="Times New Roman" w:hAnsi="Times New Roman" w:cs="Times New Roman"/>
        </w:rPr>
        <w:t xml:space="preserve">. </w:t>
      </w:r>
      <w:r w:rsidR="00063C02" w:rsidRPr="00063C02">
        <w:rPr>
          <w:rFonts w:ascii="Times New Roman" w:hAnsi="Times New Roman" w:cs="Times New Roman"/>
        </w:rPr>
        <w:t>W celu podniesienia poziomu odporności na STB w pszenicy, zaleca się jednocześnie wprowadzanie do genotypu alleli markerów molekularnych sprzężonych z obniżoną wartością NEC i PYC, niż wprowadzanie ich osobno</w:t>
      </w:r>
      <w:r w:rsidR="00B458D9">
        <w:rPr>
          <w:rFonts w:ascii="Times New Roman" w:hAnsi="Times New Roman" w:cs="Times New Roman"/>
        </w:rPr>
        <w:t xml:space="preserve"> </w:t>
      </w:r>
      <w:r w:rsidR="00B458D9" w:rsidRPr="00B458D9">
        <w:rPr>
          <w:rFonts w:ascii="Times New Roman" w:hAnsi="Times New Roman" w:cs="Times New Roman"/>
        </w:rPr>
        <w:t>przy jednoczesnej eliminacji alleli sprzyjających występowaniu objawów chorobowych.</w:t>
      </w:r>
    </w:p>
    <w:p w14:paraId="320AF7A6" w14:textId="19D3C38A" w:rsidR="00B458D9" w:rsidRDefault="00B458D9" w:rsidP="009F43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FC6E3C" w14:textId="77777777" w:rsidR="00063C02" w:rsidRDefault="00063C02" w:rsidP="009F43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801B23" w14:textId="77777777" w:rsidR="00063C02" w:rsidRPr="00063C02" w:rsidRDefault="00063C02" w:rsidP="009F43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67BC43" w14:textId="51AE2B88" w:rsidR="009F4396" w:rsidRPr="00063C02" w:rsidRDefault="009F4396" w:rsidP="009F43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C8EE67" w14:textId="346EB1C5" w:rsidR="009F4396" w:rsidRPr="00063C02" w:rsidRDefault="009F4396" w:rsidP="009F43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A6AFEE" w14:textId="77777777" w:rsidR="009F4396" w:rsidRPr="00063C02" w:rsidRDefault="009F4396" w:rsidP="009F43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6C9090" w14:textId="77777777" w:rsidR="009F4396" w:rsidRPr="009F4396" w:rsidRDefault="009F4396" w:rsidP="009F43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DB509D" w14:textId="77777777" w:rsidR="001515BB" w:rsidRPr="009F4396" w:rsidRDefault="001515BB"/>
    <w:sectPr w:rsidR="001515BB" w:rsidRPr="009F4396" w:rsidSect="001423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33755"/>
    <w:multiLevelType w:val="hybridMultilevel"/>
    <w:tmpl w:val="71927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41CE8"/>
    <w:multiLevelType w:val="hybridMultilevel"/>
    <w:tmpl w:val="11FAE87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201A3"/>
    <w:multiLevelType w:val="hybridMultilevel"/>
    <w:tmpl w:val="6512CC1C"/>
    <w:lvl w:ilvl="0" w:tplc="E6503CA2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96"/>
    <w:rsid w:val="00063C02"/>
    <w:rsid w:val="001515BB"/>
    <w:rsid w:val="004242A1"/>
    <w:rsid w:val="00692421"/>
    <w:rsid w:val="00761A89"/>
    <w:rsid w:val="009F4396"/>
    <w:rsid w:val="00B458D9"/>
    <w:rsid w:val="00CF09A2"/>
    <w:rsid w:val="00E9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E451"/>
  <w15:chartTrackingRefBased/>
  <w15:docId w15:val="{A24A7E97-7ADD-4F3B-B248-1459D398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396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396"/>
    <w:pPr>
      <w:ind w:left="720"/>
      <w:contextualSpacing/>
    </w:pPr>
  </w:style>
  <w:style w:type="paragraph" w:styleId="Bezodstpw">
    <w:name w:val="No Spacing"/>
    <w:uiPriority w:val="1"/>
    <w:qFormat/>
    <w:rsid w:val="009F4396"/>
    <w:pPr>
      <w:spacing w:after="0" w:line="240" w:lineRule="auto"/>
    </w:pPr>
  </w:style>
  <w:style w:type="paragraph" w:customStyle="1" w:styleId="gwp076c0a16msonormal">
    <w:name w:val="gwp076c0a16_msonormal"/>
    <w:basedOn w:val="Normalny"/>
    <w:rsid w:val="0069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Sikora</dc:creator>
  <cp:keywords/>
  <dc:description/>
  <cp:lastModifiedBy>Paweł Czembor</cp:lastModifiedBy>
  <cp:revision>10</cp:revision>
  <dcterms:created xsi:type="dcterms:W3CDTF">2021-02-22T13:38:00Z</dcterms:created>
  <dcterms:modified xsi:type="dcterms:W3CDTF">2021-02-22T13:44:00Z</dcterms:modified>
</cp:coreProperties>
</file>