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249F" w14:textId="77777777" w:rsidR="00351727" w:rsidRPr="00154700" w:rsidRDefault="00807639" w:rsidP="00351727">
      <w:pPr>
        <w:tabs>
          <w:tab w:val="left" w:pos="360"/>
        </w:tabs>
        <w:spacing w:before="120" w:after="120" w:line="240" w:lineRule="auto"/>
        <w:ind w:left="1140" w:hanging="1140"/>
        <w:jc w:val="both"/>
        <w:rPr>
          <w:rFonts w:ascii="Calibri" w:hAnsi="Calibri" w:cs="Calibri"/>
          <w:b/>
        </w:rPr>
      </w:pPr>
      <w:r w:rsidRPr="00154700">
        <w:rPr>
          <w:rFonts w:ascii="Calibri" w:hAnsi="Calibri" w:cs="Calibri"/>
          <w:b/>
        </w:rPr>
        <w:t>4-1-01-3-03</w:t>
      </w:r>
      <w:r w:rsidRPr="00154700">
        <w:rPr>
          <w:rFonts w:ascii="Calibri" w:hAnsi="Calibri" w:cs="Calibri"/>
          <w:b/>
        </w:rPr>
        <w:tab/>
        <w:t xml:space="preserve">Toksyny białkowe </w:t>
      </w:r>
      <w:proofErr w:type="spellStart"/>
      <w:r w:rsidRPr="00154700">
        <w:rPr>
          <w:rFonts w:ascii="Calibri" w:hAnsi="Calibri" w:cs="Calibri"/>
          <w:b/>
          <w:i/>
        </w:rPr>
        <w:t>Parastagonospora</w:t>
      </w:r>
      <w:proofErr w:type="spellEnd"/>
      <w:r w:rsidRPr="00154700">
        <w:rPr>
          <w:rFonts w:ascii="Calibri" w:hAnsi="Calibri" w:cs="Calibri"/>
          <w:b/>
        </w:rPr>
        <w:t xml:space="preserve"> </w:t>
      </w:r>
      <w:r w:rsidRPr="00154700">
        <w:rPr>
          <w:rFonts w:ascii="Calibri" w:hAnsi="Calibri" w:cs="Calibri"/>
          <w:b/>
          <w:i/>
        </w:rPr>
        <w:t>nodorum</w:t>
      </w:r>
      <w:r w:rsidRPr="00154700">
        <w:rPr>
          <w:rFonts w:ascii="Calibri" w:hAnsi="Calibri" w:cs="Calibri"/>
          <w:b/>
        </w:rPr>
        <w:t xml:space="preserve"> i ich związek z patogenicznością oraz odpornością pszenżyta i pszenicy na septoriozę</w:t>
      </w:r>
      <w:r w:rsidR="00351727" w:rsidRPr="00154700">
        <w:rPr>
          <w:rFonts w:ascii="Calibri" w:hAnsi="Calibri" w:cs="Calibri"/>
          <w:b/>
        </w:rPr>
        <w:t xml:space="preserve"> </w:t>
      </w:r>
      <w:r w:rsidRPr="00154700">
        <w:rPr>
          <w:rFonts w:ascii="Calibri" w:hAnsi="Calibri" w:cs="Calibri"/>
          <w:b/>
        </w:rPr>
        <w:t>liści i plew.</w:t>
      </w:r>
    </w:p>
    <w:p w14:paraId="47AB044F" w14:textId="43E4E365" w:rsidR="009F4396" w:rsidRPr="00B428B6" w:rsidRDefault="009F4396" w:rsidP="00351727">
      <w:pPr>
        <w:tabs>
          <w:tab w:val="left" w:pos="360"/>
        </w:tabs>
        <w:spacing w:before="120" w:after="120" w:line="240" w:lineRule="auto"/>
        <w:ind w:left="1140" w:hanging="1140"/>
        <w:jc w:val="both"/>
        <w:rPr>
          <w:rFonts w:ascii="Calibri" w:eastAsia="Calibri" w:hAnsi="Calibri" w:cs="Calibri"/>
          <w:b/>
          <w:bCs/>
        </w:rPr>
      </w:pPr>
      <w:r w:rsidRPr="00B428B6">
        <w:rPr>
          <w:rFonts w:ascii="Calibri" w:eastAsia="Calibri" w:hAnsi="Calibri" w:cs="Calibri"/>
          <w:b/>
          <w:bCs/>
        </w:rPr>
        <w:t>Cel</w:t>
      </w:r>
      <w:r w:rsidR="00B428B6" w:rsidRPr="00B428B6">
        <w:rPr>
          <w:rFonts w:ascii="Calibri" w:eastAsia="Calibri" w:hAnsi="Calibri" w:cs="Calibri"/>
          <w:b/>
          <w:bCs/>
        </w:rPr>
        <w:t>e</w:t>
      </w:r>
      <w:r w:rsidRPr="00B428B6">
        <w:rPr>
          <w:rFonts w:ascii="Calibri" w:eastAsia="Calibri" w:hAnsi="Calibri" w:cs="Calibri"/>
          <w:b/>
          <w:bCs/>
        </w:rPr>
        <w:t xml:space="preserve"> zadania:</w:t>
      </w:r>
    </w:p>
    <w:p w14:paraId="7B1A7B12" w14:textId="167FA2B1" w:rsidR="00B428B6" w:rsidRPr="00154700" w:rsidRDefault="00B428B6" w:rsidP="00154700">
      <w:pPr>
        <w:spacing w:after="0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>W ramach projektu realizowano 5 następujących celów:</w:t>
      </w:r>
    </w:p>
    <w:p w14:paraId="73242760" w14:textId="77777777" w:rsidR="00351727" w:rsidRPr="00154700" w:rsidRDefault="00351727" w:rsidP="00154700">
      <w:pPr>
        <w:spacing w:after="0"/>
        <w:jc w:val="both"/>
        <w:rPr>
          <w:rFonts w:ascii="Calibri" w:eastAsia="Times New Roman" w:hAnsi="Calibri" w:cs="Calibri"/>
          <w:szCs w:val="18"/>
          <w:lang w:eastAsia="pl-PL"/>
        </w:rPr>
      </w:pPr>
    </w:p>
    <w:p w14:paraId="0BB6F95E" w14:textId="48BD5847" w:rsidR="00167049" w:rsidRPr="00154700" w:rsidRDefault="00167049" w:rsidP="00154700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 xml:space="preserve">Opracowanie procedury testowania materiałów roślinnych na obecność genów warunkujących odporność na białkowe efektory </w:t>
      </w:r>
      <w:r w:rsidRPr="00154700">
        <w:rPr>
          <w:rFonts w:ascii="Calibri" w:eastAsia="Times New Roman" w:hAnsi="Calibri" w:cs="Calibri"/>
          <w:i/>
          <w:szCs w:val="18"/>
          <w:lang w:eastAsia="pl-PL"/>
        </w:rPr>
        <w:t>P</w:t>
      </w:r>
      <w:r w:rsidRPr="00154700">
        <w:rPr>
          <w:rFonts w:ascii="Calibri" w:eastAsia="Times New Roman" w:hAnsi="Calibri" w:cs="Calibri"/>
          <w:szCs w:val="18"/>
          <w:lang w:eastAsia="pl-PL"/>
        </w:rPr>
        <w:t xml:space="preserve">. </w:t>
      </w:r>
      <w:r w:rsidRPr="00154700">
        <w:rPr>
          <w:rFonts w:ascii="Calibri" w:eastAsia="Times New Roman" w:hAnsi="Calibri" w:cs="Calibri"/>
          <w:i/>
          <w:szCs w:val="18"/>
          <w:lang w:eastAsia="pl-PL"/>
        </w:rPr>
        <w:t>nodorum</w:t>
      </w:r>
      <w:r w:rsidRPr="00154700">
        <w:rPr>
          <w:rFonts w:ascii="Calibri" w:eastAsia="Times New Roman" w:hAnsi="Calibri" w:cs="Calibri"/>
          <w:szCs w:val="18"/>
          <w:lang w:eastAsia="pl-PL"/>
        </w:rPr>
        <w:t>.</w:t>
      </w:r>
    </w:p>
    <w:p w14:paraId="7FEBF27F" w14:textId="00B7B8AE" w:rsidR="00167049" w:rsidRPr="00154700" w:rsidRDefault="00167049" w:rsidP="00154700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>Zbadanie zdolności poszczególnych efektorów do indukcji nekrozy na próbie krajowych odmian z KRO i linii pszenżyta i pszenicy.</w:t>
      </w:r>
    </w:p>
    <w:p w14:paraId="66CC45DE" w14:textId="39A7725E" w:rsidR="00167049" w:rsidRPr="00154700" w:rsidRDefault="007D0055" w:rsidP="00154700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>Z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badanie związku korelacyjnego między obecnością genów niewrażliwości na efektory, a odpornością na </w:t>
      </w:r>
      <w:r w:rsidR="00167049" w:rsidRPr="00154700">
        <w:rPr>
          <w:rFonts w:ascii="Calibri" w:eastAsia="Times New Roman" w:hAnsi="Calibri" w:cs="Calibri"/>
          <w:i/>
          <w:szCs w:val="18"/>
          <w:lang w:eastAsia="pl-PL"/>
        </w:rPr>
        <w:t>P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. </w:t>
      </w:r>
      <w:r w:rsidR="00167049" w:rsidRPr="00154700">
        <w:rPr>
          <w:rFonts w:ascii="Calibri" w:eastAsia="Times New Roman" w:hAnsi="Calibri" w:cs="Calibri"/>
          <w:i/>
          <w:szCs w:val="18"/>
          <w:lang w:eastAsia="pl-PL"/>
        </w:rPr>
        <w:t>nodorum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 w warunkach </w:t>
      </w:r>
      <w:proofErr w:type="spellStart"/>
      <w:r w:rsidR="00167049" w:rsidRPr="00154700">
        <w:rPr>
          <w:rFonts w:ascii="Calibri" w:eastAsia="Times New Roman" w:hAnsi="Calibri" w:cs="Calibri"/>
          <w:szCs w:val="18"/>
          <w:lang w:eastAsia="pl-PL"/>
        </w:rPr>
        <w:t>fitotronowych</w:t>
      </w:r>
      <w:proofErr w:type="spellEnd"/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 (siewki) oraz polowych (rośliny dorosłe).</w:t>
      </w:r>
    </w:p>
    <w:p w14:paraId="571A1861" w14:textId="115F289E" w:rsidR="00167049" w:rsidRPr="00154700" w:rsidRDefault="007D0055" w:rsidP="00154700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>O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pracowanie procedury testowania </w:t>
      </w:r>
      <w:proofErr w:type="spellStart"/>
      <w:r w:rsidR="00167049" w:rsidRPr="00154700">
        <w:rPr>
          <w:rFonts w:ascii="Calibri" w:eastAsia="Times New Roman" w:hAnsi="Calibri" w:cs="Calibri"/>
          <w:szCs w:val="18"/>
          <w:lang w:eastAsia="pl-PL"/>
        </w:rPr>
        <w:t>iz</w:t>
      </w:r>
      <w:bookmarkStart w:id="0" w:name="_GoBack"/>
      <w:bookmarkEnd w:id="0"/>
      <w:r w:rsidR="00167049" w:rsidRPr="00154700">
        <w:rPr>
          <w:rFonts w:ascii="Calibri" w:eastAsia="Times New Roman" w:hAnsi="Calibri" w:cs="Calibri"/>
          <w:szCs w:val="18"/>
          <w:lang w:eastAsia="pl-PL"/>
        </w:rPr>
        <w:t>olatów</w:t>
      </w:r>
      <w:proofErr w:type="spellEnd"/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 </w:t>
      </w:r>
      <w:r w:rsidR="00167049" w:rsidRPr="00154700">
        <w:rPr>
          <w:rFonts w:ascii="Calibri" w:eastAsia="Times New Roman" w:hAnsi="Calibri" w:cs="Calibri"/>
          <w:i/>
          <w:szCs w:val="18"/>
          <w:lang w:eastAsia="pl-PL"/>
        </w:rPr>
        <w:t>P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. </w:t>
      </w:r>
      <w:r w:rsidR="00167049" w:rsidRPr="00154700">
        <w:rPr>
          <w:rFonts w:ascii="Calibri" w:eastAsia="Times New Roman" w:hAnsi="Calibri" w:cs="Calibri"/>
          <w:i/>
          <w:szCs w:val="18"/>
          <w:lang w:eastAsia="pl-PL"/>
        </w:rPr>
        <w:t>nodorum</w:t>
      </w:r>
      <w:r w:rsidR="00167049" w:rsidRPr="00154700">
        <w:rPr>
          <w:rFonts w:ascii="Calibri" w:eastAsia="Times New Roman" w:hAnsi="Calibri" w:cs="Calibri"/>
          <w:szCs w:val="18"/>
          <w:lang w:eastAsia="pl-PL"/>
        </w:rPr>
        <w:t xml:space="preserve"> pod względem zdolności do produkcji efektorów.</w:t>
      </w:r>
    </w:p>
    <w:p w14:paraId="56429787" w14:textId="1D4D83BC" w:rsidR="00167049" w:rsidRPr="00154700" w:rsidRDefault="00167049" w:rsidP="00154700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Times New Roman" w:hAnsi="Calibri" w:cs="Calibri"/>
          <w:szCs w:val="18"/>
          <w:lang w:eastAsia="pl-PL"/>
        </w:rPr>
      </w:pPr>
      <w:r w:rsidRPr="00154700">
        <w:rPr>
          <w:rFonts w:ascii="Calibri" w:eastAsia="Times New Roman" w:hAnsi="Calibri" w:cs="Calibri"/>
          <w:szCs w:val="18"/>
          <w:lang w:eastAsia="pl-PL"/>
        </w:rPr>
        <w:t xml:space="preserve">Identyfikacja źródeł odporności na </w:t>
      </w:r>
      <w:r w:rsidRPr="00154700">
        <w:rPr>
          <w:rFonts w:ascii="Calibri" w:eastAsia="Times New Roman" w:hAnsi="Calibri" w:cs="Calibri"/>
          <w:i/>
          <w:szCs w:val="18"/>
          <w:lang w:eastAsia="pl-PL"/>
        </w:rPr>
        <w:t>P</w:t>
      </w:r>
      <w:r w:rsidRPr="00154700">
        <w:rPr>
          <w:rFonts w:ascii="Calibri" w:eastAsia="Times New Roman" w:hAnsi="Calibri" w:cs="Calibri"/>
          <w:szCs w:val="18"/>
          <w:lang w:eastAsia="pl-PL"/>
        </w:rPr>
        <w:t xml:space="preserve">. </w:t>
      </w:r>
      <w:r w:rsidRPr="00154700">
        <w:rPr>
          <w:rFonts w:ascii="Calibri" w:eastAsia="Times New Roman" w:hAnsi="Calibri" w:cs="Calibri"/>
          <w:i/>
          <w:szCs w:val="18"/>
          <w:lang w:eastAsia="pl-PL"/>
        </w:rPr>
        <w:t>nodorum</w:t>
      </w:r>
      <w:r w:rsidRPr="00154700">
        <w:rPr>
          <w:rFonts w:ascii="Calibri" w:eastAsia="Times New Roman" w:hAnsi="Calibri" w:cs="Calibri"/>
          <w:szCs w:val="18"/>
          <w:lang w:eastAsia="pl-PL"/>
        </w:rPr>
        <w:t xml:space="preserve"> niezwiązanych z odpornością na toksyny.</w:t>
      </w:r>
    </w:p>
    <w:p w14:paraId="1BF928B9" w14:textId="06D11ACD" w:rsidR="009F4396" w:rsidRPr="00167049" w:rsidRDefault="009F4396" w:rsidP="006D2DC7">
      <w:pPr>
        <w:tabs>
          <w:tab w:val="left" w:pos="360"/>
        </w:tabs>
        <w:spacing w:before="120" w:after="120" w:line="240" w:lineRule="auto"/>
        <w:jc w:val="both"/>
        <w:rPr>
          <w:rFonts w:ascii="Calibri" w:eastAsia="Calibri" w:hAnsi="Calibri" w:cs="Calibri"/>
          <w:bCs/>
          <w:lang w:eastAsia="pl-PL"/>
        </w:rPr>
      </w:pPr>
      <w:r w:rsidRPr="00167049">
        <w:rPr>
          <w:rFonts w:ascii="Calibri" w:eastAsia="Calibri" w:hAnsi="Calibri" w:cs="Calibri"/>
          <w:b/>
          <w:bCs/>
        </w:rPr>
        <w:t>Wyniki:</w:t>
      </w:r>
    </w:p>
    <w:p w14:paraId="19B16305" w14:textId="77777777" w:rsidR="003529E8" w:rsidRPr="003529E8" w:rsidRDefault="003529E8" w:rsidP="007D0055">
      <w:pPr>
        <w:spacing w:after="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3529E8">
        <w:rPr>
          <w:rFonts w:ascii="Calibri" w:eastAsia="Calibri" w:hAnsi="Calibri" w:cs="Calibri"/>
          <w:sz w:val="20"/>
          <w:szCs w:val="20"/>
        </w:rPr>
        <w:tab/>
        <w:t>W wyniku projektu opracowano i wprowadzono procedurę przygotowywania preparatów czterech efektorów białkowych, umożliwiających testowanie roślin. Przebadano również grupy obiektów pszenżyta i pszenicy mogące stanowić odbicie obecnego stanu wrażliwości na efektory w programach hodowlanych tych gatunków. Badania wykazały, że niewrażliwość na efektory u obu gatunków jest na tyle powszechna, że dostępność form niewrażliwych nie jest problemem. Pszenica charakteryzuje się mniejszym poziomem wrażliwości na efektory niż pszenżyto, co może być spowodowane dłuższą historią hodowli, a być powodem mniejszego poziomu średniego porażenia tego gatunku. U obu gatunków najczęściej występującą wrażliwością jest wrażliwość na efektor Tox3, oraz Tox5, która jest z kolei znacznie częściej spotykana u pszenżyta niż u pszenicy.</w:t>
      </w:r>
    </w:p>
    <w:p w14:paraId="4530778E" w14:textId="39E6DC32" w:rsidR="003529E8" w:rsidRPr="003529E8" w:rsidRDefault="003529E8" w:rsidP="007D0055">
      <w:pPr>
        <w:spacing w:after="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3529E8">
        <w:rPr>
          <w:rFonts w:ascii="Calibri" w:eastAsia="Calibri" w:hAnsi="Calibri" w:cs="Calibri"/>
          <w:sz w:val="20"/>
          <w:szCs w:val="20"/>
        </w:rPr>
        <w:tab/>
        <w:t xml:space="preserve">Stan wrażliwości obu gatunków zbóż odpowiada populacji </w:t>
      </w:r>
      <w:proofErr w:type="spellStart"/>
      <w:r w:rsidRPr="003529E8">
        <w:rPr>
          <w:rFonts w:ascii="Calibri" w:eastAsia="Calibri" w:hAnsi="Calibri" w:cs="Calibri"/>
          <w:sz w:val="20"/>
          <w:szCs w:val="20"/>
        </w:rPr>
        <w:t>patogen</w:t>
      </w:r>
      <w:r w:rsidR="007D0055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3529E8">
        <w:rPr>
          <w:rFonts w:ascii="Calibri" w:eastAsia="Calibri" w:hAnsi="Calibri" w:cs="Calibri"/>
          <w:sz w:val="20"/>
          <w:szCs w:val="20"/>
        </w:rPr>
        <w:t xml:space="preserve">. Najczęściej występującymi efektorami </w:t>
      </w:r>
      <w:r w:rsidR="007D0055">
        <w:rPr>
          <w:rFonts w:ascii="Calibri" w:eastAsia="Calibri" w:hAnsi="Calibri" w:cs="Calibri"/>
          <w:sz w:val="20"/>
          <w:szCs w:val="20"/>
        </w:rPr>
        <w:t>były</w:t>
      </w:r>
      <w:r w:rsidRPr="003529E8">
        <w:rPr>
          <w:rFonts w:ascii="Calibri" w:eastAsia="Calibri" w:hAnsi="Calibri" w:cs="Calibri"/>
          <w:sz w:val="20"/>
          <w:szCs w:val="20"/>
        </w:rPr>
        <w:t xml:space="preserve"> Tox3 i Tox5, jest to spowodowane korzyścią dla patogenu z ich produkcji, polegającej na szybszym generowaniu zmian nekrotycznych co poszerza </w:t>
      </w:r>
      <w:r w:rsidR="006D2DC7">
        <w:rPr>
          <w:rFonts w:ascii="Calibri" w:eastAsia="Calibri" w:hAnsi="Calibri" w:cs="Calibri"/>
          <w:sz w:val="20"/>
          <w:szCs w:val="20"/>
        </w:rPr>
        <w:t>obszar dla jego życia i rozwoju</w:t>
      </w:r>
      <w:r w:rsidRPr="003529E8">
        <w:rPr>
          <w:rFonts w:ascii="Calibri" w:eastAsia="Calibri" w:hAnsi="Calibri" w:cs="Calibri"/>
          <w:sz w:val="20"/>
          <w:szCs w:val="20"/>
        </w:rPr>
        <w:t>. Wysoka często</w:t>
      </w:r>
      <w:r w:rsidR="007D0055">
        <w:rPr>
          <w:rFonts w:ascii="Calibri" w:eastAsia="Calibri" w:hAnsi="Calibri" w:cs="Calibri"/>
          <w:sz w:val="20"/>
          <w:szCs w:val="20"/>
        </w:rPr>
        <w:t>tliwo</w:t>
      </w:r>
      <w:r w:rsidRPr="003529E8">
        <w:rPr>
          <w:rFonts w:ascii="Calibri" w:eastAsia="Calibri" w:hAnsi="Calibri" w:cs="Calibri"/>
          <w:sz w:val="20"/>
          <w:szCs w:val="20"/>
        </w:rPr>
        <w:t xml:space="preserve">ść występowania efektora Tox1 jest wyjaśniana dodatkowo jego unikalnymi cechami. Efektor Tox1 jest białkiem dwufunkcyjnym, które poza indukowaniem zmian nekrotycznych u wrażliwych genotypów, zabezpiecza grzybnie od uszkodzeń przez </w:t>
      </w:r>
      <w:proofErr w:type="spellStart"/>
      <w:r w:rsidRPr="003529E8">
        <w:rPr>
          <w:rFonts w:ascii="Calibri" w:eastAsia="Calibri" w:hAnsi="Calibri" w:cs="Calibri"/>
          <w:sz w:val="20"/>
          <w:szCs w:val="20"/>
        </w:rPr>
        <w:t>chitynazy</w:t>
      </w:r>
      <w:proofErr w:type="spellEnd"/>
      <w:r w:rsidRPr="003529E8">
        <w:rPr>
          <w:rFonts w:ascii="Calibri" w:eastAsia="Calibri" w:hAnsi="Calibri" w:cs="Calibri"/>
          <w:sz w:val="20"/>
          <w:szCs w:val="20"/>
        </w:rPr>
        <w:t xml:space="preserve"> produkowane w odpowiedzi na infekcję</w:t>
      </w:r>
      <w:r w:rsidR="007D0055">
        <w:rPr>
          <w:rFonts w:ascii="Calibri" w:eastAsia="Calibri" w:hAnsi="Calibri" w:cs="Calibri"/>
          <w:sz w:val="20"/>
          <w:szCs w:val="20"/>
        </w:rPr>
        <w:t xml:space="preserve"> </w:t>
      </w:r>
      <w:r w:rsidR="007D0055" w:rsidRPr="007D0055">
        <w:rPr>
          <w:rFonts w:ascii="Calibri" w:eastAsia="Calibri" w:hAnsi="Calibri" w:cs="Calibri"/>
          <w:i/>
          <w:sz w:val="20"/>
          <w:szCs w:val="20"/>
        </w:rPr>
        <w:t>P</w:t>
      </w:r>
      <w:r w:rsidR="007D0055">
        <w:rPr>
          <w:rFonts w:ascii="Calibri" w:eastAsia="Calibri" w:hAnsi="Calibri" w:cs="Calibri"/>
          <w:sz w:val="20"/>
          <w:szCs w:val="20"/>
        </w:rPr>
        <w:t xml:space="preserve">. </w:t>
      </w:r>
      <w:r w:rsidR="007D0055" w:rsidRPr="007D0055">
        <w:rPr>
          <w:rFonts w:ascii="Calibri" w:eastAsia="Calibri" w:hAnsi="Calibri" w:cs="Calibri"/>
          <w:i/>
          <w:sz w:val="20"/>
          <w:szCs w:val="20"/>
        </w:rPr>
        <w:t>nodorum</w:t>
      </w:r>
      <w:r w:rsidRPr="003529E8">
        <w:rPr>
          <w:rFonts w:ascii="Calibri" w:eastAsia="Calibri" w:hAnsi="Calibri" w:cs="Calibri"/>
          <w:sz w:val="20"/>
          <w:szCs w:val="20"/>
        </w:rPr>
        <w:t xml:space="preserve">. Stosunkowo niska frekwencja występowania genu </w:t>
      </w:r>
      <w:proofErr w:type="spellStart"/>
      <w:r w:rsidRPr="003529E8">
        <w:rPr>
          <w:rFonts w:ascii="Calibri" w:eastAsia="Calibri" w:hAnsi="Calibri" w:cs="Calibri"/>
          <w:sz w:val="20"/>
          <w:szCs w:val="20"/>
        </w:rPr>
        <w:t>ToxA</w:t>
      </w:r>
      <w:proofErr w:type="spellEnd"/>
      <w:r w:rsidRPr="003529E8">
        <w:rPr>
          <w:rFonts w:ascii="Calibri" w:eastAsia="Calibri" w:hAnsi="Calibri" w:cs="Calibri"/>
          <w:sz w:val="20"/>
          <w:szCs w:val="20"/>
        </w:rPr>
        <w:t xml:space="preserve"> u </w:t>
      </w:r>
      <w:r w:rsidRPr="003529E8">
        <w:rPr>
          <w:rFonts w:ascii="Calibri" w:eastAsia="Calibri" w:hAnsi="Calibri" w:cs="Calibri"/>
          <w:i/>
          <w:sz w:val="20"/>
          <w:szCs w:val="20"/>
        </w:rPr>
        <w:t>P. nodorum</w:t>
      </w:r>
      <w:r w:rsidRPr="003529E8">
        <w:rPr>
          <w:rFonts w:ascii="Calibri" w:eastAsia="Calibri" w:hAnsi="Calibri" w:cs="Calibri"/>
          <w:sz w:val="20"/>
          <w:szCs w:val="20"/>
        </w:rPr>
        <w:t xml:space="preserve"> jest zgodna z wysoką odpornością obu gatunków zbóż na ten efektor.</w:t>
      </w:r>
    </w:p>
    <w:p w14:paraId="6F675A06" w14:textId="1E4F79EE" w:rsidR="003529E8" w:rsidRPr="003529E8" w:rsidRDefault="003529E8" w:rsidP="007D0055">
      <w:pPr>
        <w:spacing w:after="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3529E8">
        <w:rPr>
          <w:rFonts w:ascii="Calibri" w:eastAsia="Calibri" w:hAnsi="Calibri" w:cs="Calibri"/>
          <w:sz w:val="20"/>
          <w:szCs w:val="20"/>
        </w:rPr>
        <w:tab/>
        <w:t>W celu zbadania jaki jest dokładny wpływ efektorów na porażenie na SNB w lokalnych warunkach, oraz który z nich ma największy wpływ, a tym samym korzyści usunięcia którego będą największe, zostały zebrane dane o odporności fenotypowej odmian i obiektów hodowlanych. Dane te zostały zestawione z ich poziomem wrażliwości na efektory, co pozwoliło na analizę związków korelacyjnych, stopnia wyjaśnianej zmienności porażenia oraz porównania średniego porażenia obiektów wrażliwych i niewrażliwych.</w:t>
      </w:r>
    </w:p>
    <w:p w14:paraId="2B0CDE85" w14:textId="1D39B83B" w:rsidR="009F4396" w:rsidRPr="00FE67CB" w:rsidRDefault="009F4396" w:rsidP="004C4852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FE67CB">
        <w:rPr>
          <w:rFonts w:ascii="Calibri" w:hAnsi="Calibri" w:cs="Calibri"/>
          <w:b/>
          <w:bCs/>
        </w:rPr>
        <w:t>Wnioski:</w:t>
      </w:r>
    </w:p>
    <w:p w14:paraId="46027F71" w14:textId="029BC7A4" w:rsidR="00FE67CB" w:rsidRPr="006D2DC7" w:rsidRDefault="004C4852" w:rsidP="007D0055">
      <w:pPr>
        <w:pStyle w:val="Akapitzlist"/>
        <w:numPr>
          <w:ilvl w:val="0"/>
          <w:numId w:val="5"/>
        </w:numPr>
        <w:spacing w:after="0" w:line="288" w:lineRule="auto"/>
        <w:ind w:left="1134" w:hanging="567"/>
        <w:jc w:val="both"/>
        <w:rPr>
          <w:rFonts w:ascii="Calibri" w:hAnsi="Calibri" w:cs="Calibri"/>
          <w:bCs/>
        </w:rPr>
      </w:pPr>
      <w:r w:rsidRPr="006D2DC7">
        <w:rPr>
          <w:rFonts w:ascii="Calibri" w:hAnsi="Calibri" w:cs="Calibri"/>
          <w:bCs/>
        </w:rPr>
        <w:t>W wyniku realizacji projektu zebrano i kompleksowo przeanalizowano dane pozwalające wyciągnąć wnioski na temat zasadności eliminacji obiektów wrażliwych na efektory, z programów hodowlanych pszenicy i pszenżyta.</w:t>
      </w:r>
    </w:p>
    <w:p w14:paraId="2767BC43" w14:textId="30633F95" w:rsidR="009F4396" w:rsidRPr="006D2DC7" w:rsidRDefault="00FE67CB" w:rsidP="007D0055">
      <w:pPr>
        <w:pStyle w:val="Akapitzlist"/>
        <w:numPr>
          <w:ilvl w:val="0"/>
          <w:numId w:val="5"/>
        </w:numPr>
        <w:spacing w:after="0" w:line="288" w:lineRule="auto"/>
        <w:ind w:left="1134" w:hanging="567"/>
        <w:jc w:val="both"/>
        <w:rPr>
          <w:rFonts w:ascii="Calibri" w:hAnsi="Calibri" w:cs="Calibri"/>
          <w:bCs/>
        </w:rPr>
      </w:pPr>
      <w:r w:rsidRPr="006D2DC7">
        <w:rPr>
          <w:rFonts w:ascii="Calibri" w:hAnsi="Calibri" w:cs="Calibri"/>
          <w:bCs/>
        </w:rPr>
        <w:t xml:space="preserve">Stwierdzono zróżnicowany poziom wrażliwości genotypów ozimej pszenicy i ozimego pszenżyta na efektory białkowe produkowane przez </w:t>
      </w:r>
      <w:proofErr w:type="spellStart"/>
      <w:r w:rsidR="004C4852" w:rsidRPr="006D2DC7">
        <w:rPr>
          <w:rFonts w:ascii="Calibri" w:hAnsi="Calibri" w:cs="Calibri"/>
          <w:bCs/>
        </w:rPr>
        <w:t>nekrotroficzny</w:t>
      </w:r>
      <w:proofErr w:type="spellEnd"/>
      <w:r w:rsidR="004C4852" w:rsidRPr="006D2DC7">
        <w:rPr>
          <w:rFonts w:ascii="Calibri" w:hAnsi="Calibri" w:cs="Calibri"/>
          <w:bCs/>
        </w:rPr>
        <w:t xml:space="preserve"> </w:t>
      </w:r>
      <w:r w:rsidRPr="006D2DC7">
        <w:rPr>
          <w:rFonts w:ascii="Calibri" w:hAnsi="Calibri" w:cs="Calibri"/>
          <w:bCs/>
        </w:rPr>
        <w:t xml:space="preserve">grzyb </w:t>
      </w:r>
      <w:r w:rsidRPr="006D2DC7">
        <w:rPr>
          <w:rFonts w:ascii="Calibri" w:hAnsi="Calibri" w:cs="Calibri"/>
          <w:bCs/>
          <w:i/>
        </w:rPr>
        <w:t>P</w:t>
      </w:r>
      <w:r w:rsidRPr="006D2DC7">
        <w:rPr>
          <w:rFonts w:ascii="Calibri" w:hAnsi="Calibri" w:cs="Calibri"/>
          <w:bCs/>
        </w:rPr>
        <w:t xml:space="preserve">. </w:t>
      </w:r>
      <w:r w:rsidRPr="006D2DC7">
        <w:rPr>
          <w:rFonts w:ascii="Calibri" w:hAnsi="Calibri" w:cs="Calibri"/>
          <w:bCs/>
          <w:i/>
        </w:rPr>
        <w:t>nodorum</w:t>
      </w:r>
      <w:r w:rsidRPr="006D2DC7">
        <w:rPr>
          <w:rFonts w:ascii="Calibri" w:hAnsi="Calibri" w:cs="Calibri"/>
          <w:bCs/>
        </w:rPr>
        <w:t>.</w:t>
      </w:r>
    </w:p>
    <w:p w14:paraId="15A6AFEE" w14:textId="2DEED3DF" w:rsidR="009F4396" w:rsidRDefault="006D2DC7" w:rsidP="007D0055">
      <w:pPr>
        <w:pStyle w:val="Akapitzlist"/>
        <w:numPr>
          <w:ilvl w:val="0"/>
          <w:numId w:val="5"/>
        </w:numPr>
        <w:spacing w:after="0" w:line="288" w:lineRule="auto"/>
        <w:ind w:left="1134" w:hanging="567"/>
        <w:jc w:val="both"/>
        <w:rPr>
          <w:rFonts w:ascii="Calibri" w:hAnsi="Calibri" w:cs="Calibri"/>
        </w:rPr>
      </w:pPr>
      <w:r w:rsidRPr="006D2DC7">
        <w:rPr>
          <w:rFonts w:ascii="Calibri" w:hAnsi="Calibri" w:cs="Calibri"/>
        </w:rPr>
        <w:t xml:space="preserve">Średnie porażenie genotypów niewrażliwych na efektory Tox1, Tox3, Tox5 i </w:t>
      </w:r>
      <w:proofErr w:type="spellStart"/>
      <w:r w:rsidRPr="006D2DC7">
        <w:rPr>
          <w:rFonts w:ascii="Calibri" w:hAnsi="Calibri" w:cs="Calibri"/>
        </w:rPr>
        <w:t>ToxA</w:t>
      </w:r>
      <w:proofErr w:type="spellEnd"/>
      <w:r w:rsidRPr="006D2DC7">
        <w:rPr>
          <w:rFonts w:ascii="Calibri" w:hAnsi="Calibri" w:cs="Calibri"/>
        </w:rPr>
        <w:t>, było znacznie mniejsze niż genotypów wrażliwych na co najmniej jeden efektor.</w:t>
      </w:r>
    </w:p>
    <w:p w14:paraId="501C8804" w14:textId="6121EF64" w:rsidR="00351727" w:rsidRPr="006D2DC7" w:rsidRDefault="00351727" w:rsidP="00351727">
      <w:pPr>
        <w:pStyle w:val="Akapitzlist"/>
        <w:numPr>
          <w:ilvl w:val="0"/>
          <w:numId w:val="5"/>
        </w:numPr>
        <w:spacing w:after="0" w:line="288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Stwierdzono, że e</w:t>
      </w:r>
      <w:r w:rsidRPr="00351727">
        <w:rPr>
          <w:rFonts w:ascii="Calibri" w:hAnsi="Calibri" w:cs="Calibri"/>
        </w:rPr>
        <w:t>fektory</w:t>
      </w:r>
      <w:r>
        <w:rPr>
          <w:rFonts w:ascii="Calibri" w:hAnsi="Calibri" w:cs="Calibri"/>
        </w:rPr>
        <w:t xml:space="preserve"> białkowe</w:t>
      </w:r>
      <w:r w:rsidRPr="00351727">
        <w:rPr>
          <w:rFonts w:ascii="Calibri" w:hAnsi="Calibri" w:cs="Calibri"/>
        </w:rPr>
        <w:t xml:space="preserve"> o największym znaczeniu (Tox3 i Tox5) </w:t>
      </w:r>
      <w:r>
        <w:rPr>
          <w:rFonts w:ascii="Calibri" w:hAnsi="Calibri" w:cs="Calibri"/>
        </w:rPr>
        <w:t>były</w:t>
      </w:r>
      <w:r w:rsidRPr="00351727">
        <w:rPr>
          <w:rFonts w:ascii="Calibri" w:hAnsi="Calibri" w:cs="Calibri"/>
        </w:rPr>
        <w:t xml:space="preserve"> produkowane przez większość </w:t>
      </w:r>
      <w:proofErr w:type="spellStart"/>
      <w:r w:rsidRPr="00351727">
        <w:rPr>
          <w:rFonts w:ascii="Calibri" w:hAnsi="Calibri" w:cs="Calibri"/>
        </w:rPr>
        <w:t>izolatów</w:t>
      </w:r>
      <w:proofErr w:type="spellEnd"/>
      <w:r>
        <w:rPr>
          <w:rFonts w:ascii="Calibri" w:hAnsi="Calibri" w:cs="Calibri"/>
        </w:rPr>
        <w:t xml:space="preserve"> </w:t>
      </w:r>
      <w:r w:rsidRPr="00351727">
        <w:rPr>
          <w:rFonts w:ascii="Calibri" w:hAnsi="Calibri" w:cs="Calibri"/>
          <w:i/>
        </w:rPr>
        <w:t>P</w:t>
      </w:r>
      <w:r>
        <w:rPr>
          <w:rFonts w:ascii="Calibri" w:hAnsi="Calibri" w:cs="Calibri"/>
        </w:rPr>
        <w:t xml:space="preserve">. </w:t>
      </w:r>
      <w:r w:rsidRPr="00351727">
        <w:rPr>
          <w:rFonts w:ascii="Calibri" w:hAnsi="Calibri" w:cs="Calibri"/>
          <w:i/>
        </w:rPr>
        <w:t>nodorum</w:t>
      </w:r>
      <w:r w:rsidRPr="00351727">
        <w:rPr>
          <w:rFonts w:ascii="Calibri" w:hAnsi="Calibri" w:cs="Calibri"/>
        </w:rPr>
        <w:t xml:space="preserve"> w dużych ilościach.</w:t>
      </w:r>
    </w:p>
    <w:sectPr w:rsidR="00351727" w:rsidRPr="006D2DC7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399"/>
    <w:multiLevelType w:val="hybridMultilevel"/>
    <w:tmpl w:val="BD1A31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F625F7"/>
    <w:multiLevelType w:val="multilevel"/>
    <w:tmpl w:val="4D0A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A0B73"/>
    <w:multiLevelType w:val="hybridMultilevel"/>
    <w:tmpl w:val="CA1C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6"/>
    <w:rsid w:val="001515BB"/>
    <w:rsid w:val="00154700"/>
    <w:rsid w:val="00167049"/>
    <w:rsid w:val="00351727"/>
    <w:rsid w:val="003529E8"/>
    <w:rsid w:val="004C4852"/>
    <w:rsid w:val="006D2DC7"/>
    <w:rsid w:val="00761A89"/>
    <w:rsid w:val="007D0055"/>
    <w:rsid w:val="00807639"/>
    <w:rsid w:val="009C33BD"/>
    <w:rsid w:val="009F4396"/>
    <w:rsid w:val="00AA27E5"/>
    <w:rsid w:val="00B428B6"/>
    <w:rsid w:val="00D55112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1563-0EB5-4EDD-B683-43085175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Hodowli i Aklimatyzacji Roślin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Sikora</dc:creator>
  <cp:lastModifiedBy>Edward Arseniuk</cp:lastModifiedBy>
  <cp:revision>6</cp:revision>
  <dcterms:created xsi:type="dcterms:W3CDTF">2021-02-22T21:09:00Z</dcterms:created>
  <dcterms:modified xsi:type="dcterms:W3CDTF">2021-02-22T23:40:00Z</dcterms:modified>
</cp:coreProperties>
</file>