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1D68" w14:textId="77777777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</w:rPr>
      </w:pPr>
      <w:r w:rsidRPr="00303866">
        <w:rPr>
          <w:rFonts w:ascii="Times New Roman" w:eastAsia="Times New Roman" w:hAnsi="Times New Roman" w:cs="Times New Roman"/>
          <w:b/>
          <w:noProof/>
        </w:rPr>
        <w:t>Streszczenie zadania za 20</w:t>
      </w:r>
      <w:r>
        <w:rPr>
          <w:rFonts w:ascii="Times New Roman" w:eastAsia="Times New Roman" w:hAnsi="Times New Roman" w:cs="Times New Roman"/>
          <w:b/>
          <w:noProof/>
        </w:rPr>
        <w:t>20</w:t>
      </w:r>
      <w:r w:rsidRPr="00303866">
        <w:rPr>
          <w:rFonts w:ascii="Times New Roman" w:eastAsia="Times New Roman" w:hAnsi="Times New Roman" w:cs="Times New Roman"/>
          <w:b/>
          <w:noProof/>
        </w:rPr>
        <w:t xml:space="preserve"> r. w Programie Badań Podstawowych w Produkcji Roślinnej.</w:t>
      </w:r>
    </w:p>
    <w:p w14:paraId="34BBE8E3" w14:textId="77777777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</w:rPr>
      </w:pPr>
    </w:p>
    <w:p w14:paraId="27E21898" w14:textId="1EABC144" w:rsidR="009F4396" w:rsidRPr="009F4396" w:rsidRDefault="00761A89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 </w:t>
      </w:r>
      <w:r w:rsidRPr="00761A89">
        <w:rPr>
          <w:rFonts w:ascii="Times New Roman" w:hAnsi="Times New Roman"/>
          <w:b/>
          <w:i/>
        </w:rPr>
        <w:t>(</w:t>
      </w:r>
      <w:r w:rsidR="00931D76">
        <w:rPr>
          <w:rFonts w:ascii="Times New Roman" w:hAnsi="Times New Roman"/>
          <w:b/>
          <w:i/>
        </w:rPr>
        <w:t>4-3-00-6-02</w:t>
      </w:r>
      <w:r w:rsidRPr="00761A89">
        <w:rPr>
          <w:rFonts w:ascii="Times New Roman" w:hAnsi="Times New Roman"/>
          <w:b/>
          <w:i/>
        </w:rPr>
        <w:t>)</w:t>
      </w:r>
      <w:r w:rsidR="00931D76">
        <w:rPr>
          <w:rFonts w:ascii="Times New Roman" w:hAnsi="Times New Roman"/>
          <w:b/>
          <w:i/>
        </w:rPr>
        <w:t xml:space="preserve"> -</w:t>
      </w:r>
      <w:r w:rsidR="009F4396">
        <w:rPr>
          <w:rFonts w:ascii="Times New Roman" w:hAnsi="Times New Roman"/>
          <w:b/>
          <w:i/>
          <w:color w:val="FF0000"/>
        </w:rPr>
        <w:t xml:space="preserve"> </w:t>
      </w:r>
      <w:r w:rsidR="00931D76" w:rsidRPr="009028BB">
        <w:rPr>
          <w:b/>
        </w:rPr>
        <w:t xml:space="preserve">Wyróżnianie form ziemniaka o złożonej odporności na mątwiki atakujące ziemniak przy wykorzystaniu metod konwencjonalnych i molekularnych. Charakterystyka nowego źródła odporności na </w:t>
      </w:r>
      <w:r w:rsidR="00931D76" w:rsidRPr="009028BB">
        <w:rPr>
          <w:b/>
          <w:i/>
          <w:iCs/>
        </w:rPr>
        <w:t>Globodera pallida</w:t>
      </w:r>
      <w:r w:rsidR="00931D76" w:rsidRPr="009028BB">
        <w:rPr>
          <w:b/>
        </w:rPr>
        <w:t xml:space="preserve"> znalezionego w </w:t>
      </w:r>
      <w:r w:rsidR="00931D76" w:rsidRPr="009028BB">
        <w:rPr>
          <w:b/>
          <w:i/>
        </w:rPr>
        <w:t xml:space="preserve"> Solanum gourlayi.</w:t>
      </w:r>
    </w:p>
    <w:p w14:paraId="27D647AD" w14:textId="77777777" w:rsidR="009F4396" w:rsidRPr="0030386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88841F" w14:textId="77777777" w:rsid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F4396">
        <w:rPr>
          <w:rFonts w:ascii="Times New Roman" w:eastAsia="Calibri" w:hAnsi="Times New Roman" w:cs="Times New Roman"/>
          <w:b/>
          <w:bCs/>
        </w:rPr>
        <w:t>Cel zadania:</w:t>
      </w:r>
    </w:p>
    <w:p w14:paraId="2A419605" w14:textId="77777777" w:rsidR="00E21218" w:rsidRPr="00CE707E" w:rsidRDefault="00E21218" w:rsidP="00E2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7E">
        <w:rPr>
          <w:rFonts w:ascii="Times New Roman" w:hAnsi="Times New Roman" w:cs="Times New Roman"/>
          <w:sz w:val="24"/>
          <w:szCs w:val="24"/>
        </w:rPr>
        <w:t xml:space="preserve">Celem zadania jest poznanie genetycznych uwarunkowań odporności na mątwiki, zaobserwowanej w gatunku </w:t>
      </w:r>
      <w:r w:rsidRPr="00CE707E">
        <w:rPr>
          <w:rFonts w:ascii="Times New Roman" w:hAnsi="Times New Roman" w:cs="Times New Roman"/>
          <w:i/>
          <w:sz w:val="24"/>
          <w:szCs w:val="24"/>
        </w:rPr>
        <w:t>Solanum gourlayi</w:t>
      </w:r>
      <w:r w:rsidRPr="00CE707E">
        <w:rPr>
          <w:rFonts w:ascii="Times New Roman" w:hAnsi="Times New Roman" w:cs="Times New Roman"/>
          <w:sz w:val="24"/>
          <w:szCs w:val="24"/>
        </w:rPr>
        <w:t xml:space="preserve"> oraz wyróżnienie w obrębie ziemniaka o różnych kierunkach użytkowania form o złożonej odporności na mątwiki atakujące ziemniak (patotypy mątwika ziemniaczanego - </w:t>
      </w:r>
      <w:r w:rsidRPr="00CE707E">
        <w:rPr>
          <w:rFonts w:ascii="Times New Roman" w:hAnsi="Times New Roman" w:cs="Times New Roman"/>
          <w:i/>
          <w:sz w:val="24"/>
          <w:szCs w:val="24"/>
        </w:rPr>
        <w:t>Globodera rostochiensis</w:t>
      </w:r>
      <w:r w:rsidRPr="00CE707E">
        <w:rPr>
          <w:rFonts w:ascii="Times New Roman" w:hAnsi="Times New Roman" w:cs="Times New Roman"/>
          <w:sz w:val="24"/>
          <w:szCs w:val="24"/>
        </w:rPr>
        <w:t xml:space="preserve"> i mątwika agresywnego - </w:t>
      </w:r>
      <w:r w:rsidRPr="00CE707E">
        <w:rPr>
          <w:rFonts w:ascii="Times New Roman" w:hAnsi="Times New Roman" w:cs="Times New Roman"/>
          <w:i/>
          <w:sz w:val="24"/>
          <w:szCs w:val="24"/>
        </w:rPr>
        <w:t>G. pallida</w:t>
      </w:r>
      <w:r w:rsidRPr="00CE707E">
        <w:rPr>
          <w:rFonts w:ascii="Times New Roman" w:hAnsi="Times New Roman" w:cs="Times New Roman"/>
          <w:sz w:val="24"/>
          <w:szCs w:val="24"/>
        </w:rPr>
        <w:t>).</w:t>
      </w:r>
    </w:p>
    <w:p w14:paraId="312501DA" w14:textId="77777777" w:rsidR="00E21218" w:rsidRPr="00CE707E" w:rsidRDefault="00E21218" w:rsidP="00931D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7E">
        <w:rPr>
          <w:rFonts w:ascii="Times New Roman" w:hAnsi="Times New Roman" w:cs="Times New Roman"/>
          <w:sz w:val="24"/>
          <w:szCs w:val="24"/>
        </w:rPr>
        <w:t>Celem tematów realizowanych w 20</w:t>
      </w:r>
      <w:r>
        <w:rPr>
          <w:rFonts w:ascii="Times New Roman" w:hAnsi="Times New Roman" w:cs="Times New Roman"/>
          <w:sz w:val="24"/>
          <w:szCs w:val="24"/>
        </w:rPr>
        <w:t>20 roku było</w:t>
      </w:r>
      <w:r w:rsidRPr="00CE707E">
        <w:rPr>
          <w:rFonts w:ascii="Times New Roman" w:hAnsi="Times New Roman" w:cs="Times New Roman"/>
          <w:sz w:val="24"/>
          <w:szCs w:val="24"/>
        </w:rPr>
        <w:t xml:space="preserve">: a) </w:t>
      </w:r>
      <w:r w:rsidRPr="00B347F5">
        <w:rPr>
          <w:rFonts w:ascii="Times New Roman" w:hAnsi="Times New Roman" w:cs="Times New Roman"/>
          <w:lang w:eastAsia="pl-PL"/>
        </w:rPr>
        <w:t xml:space="preserve">przeprowadzenie </w:t>
      </w:r>
      <w:r w:rsidRPr="00B347F5">
        <w:rPr>
          <w:rFonts w:ascii="Times New Roman" w:hAnsi="Times New Roman" w:cs="Times New Roman"/>
        </w:rPr>
        <w:t>oceny odporności</w:t>
      </w:r>
      <w:r w:rsidRPr="00B347F5">
        <w:rPr>
          <w:rFonts w:ascii="Times New Roman" w:hAnsi="Times New Roman" w:cs="Times New Roman"/>
          <w:lang w:eastAsia="pl-PL"/>
        </w:rPr>
        <w:t xml:space="preserve"> </w:t>
      </w:r>
      <w:r w:rsidRPr="00B347F5">
        <w:rPr>
          <w:rFonts w:ascii="Times New Roman" w:hAnsi="Times New Roman" w:cs="Times New Roman"/>
          <w:iCs/>
        </w:rPr>
        <w:t xml:space="preserve">na patotypy Pa2 i Pa3 </w:t>
      </w:r>
      <w:r w:rsidRPr="00B347F5">
        <w:rPr>
          <w:rFonts w:ascii="Times New Roman" w:hAnsi="Times New Roman" w:cs="Times New Roman"/>
          <w:i/>
          <w:iCs/>
        </w:rPr>
        <w:t>G. pallida</w:t>
      </w:r>
      <w:r w:rsidRPr="00B347F5">
        <w:rPr>
          <w:rFonts w:ascii="Times New Roman" w:hAnsi="Times New Roman" w:cs="Times New Roman"/>
          <w:iCs/>
        </w:rPr>
        <w:t xml:space="preserve"> uzyskanych w latach ubiegłych wybranych klonów</w:t>
      </w:r>
      <w:r w:rsidRPr="00B347F5">
        <w:rPr>
          <w:rFonts w:ascii="Times New Roman" w:hAnsi="Times New Roman" w:cs="Times New Roman"/>
          <w:i/>
          <w:iCs/>
        </w:rPr>
        <w:t xml:space="preserve"> </w:t>
      </w:r>
      <w:r w:rsidRPr="00B347F5">
        <w:rPr>
          <w:rFonts w:ascii="Times New Roman" w:hAnsi="Times New Roman" w:cs="Times New Roman"/>
          <w:iCs/>
        </w:rPr>
        <w:t xml:space="preserve">interploidalnych oraz </w:t>
      </w:r>
      <w:r w:rsidRPr="00B347F5">
        <w:rPr>
          <w:rFonts w:ascii="Times New Roman" w:hAnsi="Times New Roman" w:cs="Times New Roman"/>
          <w:lang w:eastAsia="pl-PL"/>
        </w:rPr>
        <w:t>powtórnej</w:t>
      </w:r>
      <w:r w:rsidRPr="00B347F5">
        <w:rPr>
          <w:rFonts w:ascii="Times New Roman" w:hAnsi="Times New Roman" w:cs="Times New Roman"/>
        </w:rPr>
        <w:t xml:space="preserve"> oceny odporności na patotypy </w:t>
      </w:r>
      <w:r w:rsidRPr="00B347F5">
        <w:rPr>
          <w:rFonts w:ascii="Times New Roman" w:hAnsi="Times New Roman" w:cs="Times New Roman"/>
          <w:i/>
          <w:iCs/>
        </w:rPr>
        <w:t>G. rostochiensis</w:t>
      </w:r>
      <w:r w:rsidRPr="00B347F5">
        <w:rPr>
          <w:rFonts w:ascii="Times New Roman" w:hAnsi="Times New Roman" w:cs="Times New Roman"/>
        </w:rPr>
        <w:t xml:space="preserve"> wybranych klonów tetraploidalnyc</w:t>
      </w:r>
      <w:r>
        <w:rPr>
          <w:rFonts w:ascii="Times New Roman" w:hAnsi="Times New Roman" w:cs="Times New Roman"/>
        </w:rPr>
        <w:t>h</w:t>
      </w:r>
      <w:r w:rsidRPr="00CE707E">
        <w:rPr>
          <w:rFonts w:ascii="Times New Roman" w:hAnsi="Times New Roman" w:cs="Times New Roman"/>
          <w:sz w:val="24"/>
          <w:szCs w:val="24"/>
        </w:rPr>
        <w:t xml:space="preserve">; b) </w:t>
      </w:r>
      <w:r>
        <w:rPr>
          <w:rFonts w:ascii="Times New Roman" w:hAnsi="Times New Roman" w:cs="Times New Roman"/>
        </w:rPr>
        <w:t>była</w:t>
      </w:r>
      <w:r w:rsidRPr="00751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751B8D">
        <w:rPr>
          <w:rFonts w:ascii="Times New Roman" w:hAnsi="Times New Roman" w:cs="Times New Roman"/>
          <w:bCs/>
        </w:rPr>
        <w:t>dentyfikacja markerów PCR związanych z</w:t>
      </w:r>
      <w:r>
        <w:rPr>
          <w:rFonts w:ascii="Times New Roman" w:hAnsi="Times New Roman" w:cs="Times New Roman"/>
          <w:bCs/>
        </w:rPr>
        <w:t xml:space="preserve"> </w:t>
      </w:r>
      <w:r w:rsidRPr="00751B8D">
        <w:rPr>
          <w:rFonts w:ascii="Times New Roman" w:hAnsi="Times New Roman" w:cs="Times New Roman"/>
          <w:bCs/>
        </w:rPr>
        <w:t xml:space="preserve">odpornością na </w:t>
      </w:r>
      <w:r w:rsidRPr="00751B8D">
        <w:rPr>
          <w:rFonts w:ascii="Times New Roman" w:hAnsi="Times New Roman" w:cs="Times New Roman"/>
          <w:bCs/>
          <w:i/>
          <w:iCs/>
        </w:rPr>
        <w:t>G.</w:t>
      </w:r>
      <w:r w:rsidRPr="00751B8D">
        <w:rPr>
          <w:rFonts w:ascii="Times New Roman" w:hAnsi="Times New Roman" w:cs="Times New Roman"/>
          <w:bCs/>
        </w:rPr>
        <w:t> </w:t>
      </w:r>
      <w:r w:rsidRPr="00751B8D">
        <w:rPr>
          <w:rFonts w:ascii="Times New Roman" w:hAnsi="Times New Roman" w:cs="Times New Roman"/>
          <w:bCs/>
          <w:i/>
          <w:iCs/>
        </w:rPr>
        <w:t>pallida</w:t>
      </w:r>
      <w:r w:rsidRPr="00751B8D">
        <w:rPr>
          <w:rFonts w:ascii="Times New Roman" w:hAnsi="Times New Roman" w:cs="Times New Roman"/>
          <w:bCs/>
        </w:rPr>
        <w:t xml:space="preserve"> z </w:t>
      </w:r>
      <w:r w:rsidRPr="00751B8D">
        <w:rPr>
          <w:rFonts w:ascii="Times New Roman" w:hAnsi="Times New Roman" w:cs="Times New Roman"/>
          <w:bCs/>
          <w:i/>
          <w:iCs/>
        </w:rPr>
        <w:t>S. gourlayi</w:t>
      </w:r>
      <w:r>
        <w:rPr>
          <w:rFonts w:ascii="Times New Roman" w:hAnsi="Times New Roman" w:cs="Times New Roman"/>
          <w:bCs/>
          <w:iCs/>
        </w:rPr>
        <w:t xml:space="preserve"> oraz</w:t>
      </w:r>
      <w:r w:rsidRPr="00751B8D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w</w:t>
      </w:r>
      <w:r w:rsidRPr="00751B8D">
        <w:rPr>
          <w:rFonts w:ascii="Times New Roman" w:hAnsi="Times New Roman" w:cs="Times New Roman"/>
        </w:rPr>
        <w:t xml:space="preserve">eryfikacja skuteczności markerów PCR w selekcji form odpornych na </w:t>
      </w:r>
      <w:r>
        <w:rPr>
          <w:rFonts w:ascii="Times New Roman" w:hAnsi="Times New Roman" w:cs="Times New Roman"/>
          <w:i/>
        </w:rPr>
        <w:t>G.</w:t>
      </w:r>
      <w:r w:rsidRPr="00751B8D">
        <w:rPr>
          <w:rFonts w:ascii="Times New Roman" w:hAnsi="Times New Roman" w:cs="Times New Roman"/>
          <w:bCs/>
        </w:rPr>
        <w:t> </w:t>
      </w:r>
      <w:r w:rsidRPr="00751B8D">
        <w:rPr>
          <w:rFonts w:ascii="Times New Roman" w:hAnsi="Times New Roman" w:cs="Times New Roman"/>
          <w:i/>
        </w:rPr>
        <w:t>pallida</w:t>
      </w:r>
      <w:r w:rsidRPr="00751B8D">
        <w:rPr>
          <w:rFonts w:ascii="Times New Roman" w:hAnsi="Times New Roman" w:cs="Times New Roman"/>
        </w:rPr>
        <w:t xml:space="preserve">, </w:t>
      </w:r>
      <w:r w:rsidRPr="00751B8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751B8D">
        <w:rPr>
          <w:rFonts w:ascii="Times New Roman" w:hAnsi="Times New Roman" w:cs="Times New Roman"/>
          <w:bCs/>
        </w:rPr>
        <w:t xml:space="preserve">odpornością wprowadzoną z </w:t>
      </w:r>
      <w:r w:rsidRPr="00751B8D">
        <w:rPr>
          <w:rFonts w:ascii="Times New Roman" w:hAnsi="Times New Roman" w:cs="Times New Roman"/>
          <w:bCs/>
          <w:i/>
          <w:iCs/>
        </w:rPr>
        <w:t>S.</w:t>
      </w:r>
      <w:r w:rsidR="0067299E" w:rsidRPr="00751B8D">
        <w:rPr>
          <w:rFonts w:ascii="Times New Roman" w:hAnsi="Times New Roman" w:cs="Times New Roman"/>
          <w:bCs/>
        </w:rPr>
        <w:t> </w:t>
      </w:r>
      <w:r w:rsidRPr="00751B8D">
        <w:rPr>
          <w:rFonts w:ascii="Times New Roman" w:hAnsi="Times New Roman" w:cs="Times New Roman"/>
          <w:bCs/>
          <w:i/>
          <w:iCs/>
        </w:rPr>
        <w:t>gourlayi</w:t>
      </w:r>
      <w:r w:rsidRPr="00CE707E">
        <w:rPr>
          <w:rFonts w:ascii="Times New Roman" w:hAnsi="Times New Roman" w:cs="Times New Roman"/>
          <w:sz w:val="24"/>
          <w:szCs w:val="24"/>
        </w:rPr>
        <w:t xml:space="preserve">; c) </w:t>
      </w:r>
      <w:r w:rsidRPr="00E21218">
        <w:rPr>
          <w:rFonts w:ascii="Times New Roman" w:hAnsi="Times New Roman" w:cs="Times New Roman"/>
          <w:sz w:val="24"/>
          <w:szCs w:val="24"/>
        </w:rPr>
        <w:t xml:space="preserve">stworzenie kolekcji in vitro form ziemniaka odpornych na </w:t>
      </w:r>
      <w:proofErr w:type="spellStart"/>
      <w:r w:rsidRPr="00E21218">
        <w:rPr>
          <w:rFonts w:ascii="Times New Roman" w:hAnsi="Times New Roman" w:cs="Times New Roman"/>
          <w:i/>
          <w:sz w:val="24"/>
          <w:szCs w:val="24"/>
        </w:rPr>
        <w:t>Globodera</w:t>
      </w:r>
      <w:proofErr w:type="spellEnd"/>
      <w:r w:rsidRPr="00E2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18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E21218">
        <w:rPr>
          <w:rFonts w:ascii="Times New Roman" w:hAnsi="Times New Roman" w:cs="Times New Roman"/>
          <w:sz w:val="24"/>
          <w:szCs w:val="24"/>
        </w:rPr>
        <w:t>. w celu zachowania wytworzonych w ramach zadania materiałów.</w:t>
      </w:r>
    </w:p>
    <w:p w14:paraId="73C4DF56" w14:textId="77777777" w:rsidR="009F4396" w:rsidRP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9F4396">
        <w:rPr>
          <w:rFonts w:ascii="Times New Roman" w:eastAsia="Calibri" w:hAnsi="Times New Roman" w:cs="Times New Roman"/>
          <w:b/>
          <w:bCs/>
        </w:rPr>
        <w:t>Wyniki:</w:t>
      </w:r>
    </w:p>
    <w:p w14:paraId="62B8C998" w14:textId="77777777" w:rsidR="00931D76" w:rsidRDefault="00FA00CD" w:rsidP="00FA0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31D76" w:rsidRPr="00931D76">
        <w:rPr>
          <w:rFonts w:ascii="Times New Roman" w:hAnsi="Times New Roman" w:cs="Times New Roman"/>
          <w:sz w:val="24"/>
          <w:szCs w:val="24"/>
        </w:rPr>
        <w:t xml:space="preserve">Spośród 7 klonów interploidalnych przetestowanych pod kątem odporności na patotypy Pa2 i Pa3 </w:t>
      </w:r>
      <w:r w:rsidR="00931D76" w:rsidRPr="00931D76">
        <w:rPr>
          <w:rFonts w:ascii="Times New Roman" w:hAnsi="Times New Roman" w:cs="Times New Roman"/>
          <w:i/>
          <w:sz w:val="24"/>
          <w:szCs w:val="24"/>
        </w:rPr>
        <w:t>G. pallida</w:t>
      </w:r>
      <w:r w:rsidR="00931D76" w:rsidRPr="00931D76">
        <w:rPr>
          <w:rFonts w:ascii="Times New Roman" w:hAnsi="Times New Roman" w:cs="Times New Roman"/>
          <w:sz w:val="24"/>
          <w:szCs w:val="24"/>
        </w:rPr>
        <w:t xml:space="preserve"> jeden wykazał się odpornością na patotypy Pa2 i Pa3 odpowiednio w stopniu wysokim (7) i bardzo wysokim (9)</w:t>
      </w:r>
      <w:r w:rsidR="00931D76">
        <w:rPr>
          <w:rFonts w:ascii="Times New Roman" w:hAnsi="Times New Roman" w:cs="Times New Roman"/>
          <w:sz w:val="24"/>
          <w:szCs w:val="24"/>
        </w:rPr>
        <w:t xml:space="preserve">. </w:t>
      </w:r>
      <w:r w:rsidR="00931D76" w:rsidRPr="00931D76">
        <w:rPr>
          <w:rFonts w:ascii="Times New Roman" w:hAnsi="Times New Roman" w:cs="Times New Roman"/>
          <w:sz w:val="24"/>
          <w:szCs w:val="24"/>
        </w:rPr>
        <w:t>12 spośród</w:t>
      </w:r>
      <w:r w:rsidR="00931D76">
        <w:rPr>
          <w:rFonts w:ascii="Times New Roman" w:hAnsi="Times New Roman" w:cs="Times New Roman"/>
          <w:sz w:val="24"/>
          <w:szCs w:val="24"/>
        </w:rPr>
        <w:t xml:space="preserve"> 13</w:t>
      </w:r>
      <w:r w:rsidR="00931D76" w:rsidRPr="00931D76">
        <w:rPr>
          <w:rFonts w:ascii="Times New Roman" w:hAnsi="Times New Roman" w:cs="Times New Roman"/>
          <w:sz w:val="24"/>
          <w:szCs w:val="24"/>
        </w:rPr>
        <w:t xml:space="preserve"> badanych klonów</w:t>
      </w:r>
      <w:r w:rsidR="00931D76">
        <w:rPr>
          <w:rFonts w:ascii="Times New Roman" w:hAnsi="Times New Roman" w:cs="Times New Roman"/>
          <w:sz w:val="24"/>
          <w:szCs w:val="24"/>
        </w:rPr>
        <w:t xml:space="preserve"> tetraploidalnych</w:t>
      </w:r>
      <w:r w:rsidR="00931D76" w:rsidRPr="00931D76">
        <w:rPr>
          <w:rFonts w:ascii="Times New Roman" w:hAnsi="Times New Roman" w:cs="Times New Roman"/>
          <w:sz w:val="24"/>
          <w:szCs w:val="24"/>
        </w:rPr>
        <w:t xml:space="preserve"> charakteryzowało się odpornością na </w:t>
      </w:r>
      <w:r w:rsidR="00931D76">
        <w:rPr>
          <w:rFonts w:ascii="Times New Roman" w:hAnsi="Times New Roman" w:cs="Times New Roman"/>
          <w:sz w:val="24"/>
          <w:szCs w:val="24"/>
        </w:rPr>
        <w:t>w</w:t>
      </w:r>
      <w:r w:rsidR="00931D76" w:rsidRPr="00931D76">
        <w:rPr>
          <w:rFonts w:ascii="Times New Roman" w:hAnsi="Times New Roman" w:cs="Times New Roman"/>
          <w:sz w:val="24"/>
          <w:szCs w:val="24"/>
        </w:rPr>
        <w:t xml:space="preserve">szystkie patotypy </w:t>
      </w:r>
      <w:r w:rsidR="00931D76" w:rsidRPr="00931D76">
        <w:rPr>
          <w:rFonts w:ascii="Times New Roman" w:hAnsi="Times New Roman" w:cs="Times New Roman"/>
          <w:i/>
          <w:sz w:val="24"/>
          <w:szCs w:val="24"/>
        </w:rPr>
        <w:t>G. rostochiensis</w:t>
      </w:r>
      <w:r w:rsidR="00931D76">
        <w:rPr>
          <w:rFonts w:ascii="Times New Roman" w:hAnsi="Times New Roman" w:cs="Times New Roman"/>
          <w:sz w:val="24"/>
          <w:szCs w:val="24"/>
        </w:rPr>
        <w:t xml:space="preserve"> w stopniu od 7 do 9</w:t>
      </w:r>
      <w:r w:rsidR="00931D76" w:rsidRPr="00931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AC706" w14:textId="77777777" w:rsidR="00FA00CD" w:rsidRDefault="00FA00CD" w:rsidP="00FA00CD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b) </w:t>
      </w:r>
      <w:r w:rsidR="00931D76">
        <w:rPr>
          <w:rFonts w:ascii="Times New Roman" w:hAnsi="Times New Roman"/>
        </w:rPr>
        <w:t xml:space="preserve">Lokalizacje uzyskane dla chromosomu XI: </w:t>
      </w:r>
      <w:proofErr w:type="spellStart"/>
      <w:r w:rsidR="00931D76">
        <w:rPr>
          <w:rFonts w:ascii="Times New Roman" w:hAnsi="Times New Roman"/>
        </w:rPr>
        <w:t>poz</w:t>
      </w:r>
      <w:proofErr w:type="spellEnd"/>
      <w:r w:rsidR="00931D76">
        <w:rPr>
          <w:rFonts w:ascii="Times New Roman" w:hAnsi="Times New Roman"/>
        </w:rPr>
        <w:t xml:space="preserve"> 8,35; 13,21; 13,211; 14,211; 14,219; 15,219; 61,758 oraz 62,829 </w:t>
      </w:r>
      <w:proofErr w:type="spellStart"/>
      <w:r w:rsidR="00931D76">
        <w:rPr>
          <w:rFonts w:ascii="Times New Roman" w:hAnsi="Times New Roman"/>
        </w:rPr>
        <w:t>cM</w:t>
      </w:r>
      <w:proofErr w:type="spellEnd"/>
      <w:r w:rsidR="00931D76">
        <w:rPr>
          <w:rFonts w:ascii="Times New Roman" w:hAnsi="Times New Roman"/>
        </w:rPr>
        <w:t xml:space="preserve">, tłumaczą średnio od 12,9 do 42,3% obserwowanej zmienności. </w:t>
      </w:r>
      <w:r w:rsidR="00931D76">
        <w:rPr>
          <w:rFonts w:ascii="Times New Roman" w:hAnsi="Times New Roman" w:cs="Times New Roman"/>
        </w:rPr>
        <w:t xml:space="preserve">Sekwencje wybranych </w:t>
      </w:r>
      <w:proofErr w:type="spellStart"/>
      <w:r w:rsidR="00931D76">
        <w:rPr>
          <w:rFonts w:ascii="Times New Roman" w:hAnsi="Times New Roman" w:cs="Times New Roman"/>
        </w:rPr>
        <w:t>locus</w:t>
      </w:r>
      <w:proofErr w:type="spellEnd"/>
      <w:r w:rsidR="00931D76">
        <w:rPr>
          <w:rFonts w:ascii="Times New Roman" w:hAnsi="Times New Roman" w:cs="Times New Roman"/>
        </w:rPr>
        <w:t xml:space="preserve"> w genomie referencyjnym są dostępne dla pozycji 8,35 (koduje katalazę), 13,211 (koduje </w:t>
      </w:r>
      <w:proofErr w:type="spellStart"/>
      <w:r w:rsidR="00931D76">
        <w:rPr>
          <w:rFonts w:ascii="Times New Roman" w:hAnsi="Times New Roman" w:cs="Times New Roman"/>
        </w:rPr>
        <w:t>ekspansynę</w:t>
      </w:r>
      <w:proofErr w:type="spellEnd"/>
      <w:r w:rsidR="00931D76">
        <w:rPr>
          <w:rFonts w:ascii="Times New Roman" w:hAnsi="Times New Roman" w:cs="Times New Roman"/>
        </w:rPr>
        <w:t xml:space="preserve"> 9) oraz dla pozycji 61,758 (koduje </w:t>
      </w:r>
      <w:proofErr w:type="spellStart"/>
      <w:r w:rsidR="00931D76">
        <w:rPr>
          <w:rFonts w:ascii="Times New Roman" w:hAnsi="Times New Roman" w:cs="Times New Roman"/>
        </w:rPr>
        <w:t>monoksygenazę</w:t>
      </w:r>
      <w:proofErr w:type="spellEnd"/>
      <w:r w:rsidR="00931D7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Dla sekwencji kodującej</w:t>
      </w:r>
      <w:r w:rsidRPr="00C97F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ekspansynę</w:t>
      </w:r>
      <w:proofErr w:type="spellEnd"/>
      <w:r>
        <w:rPr>
          <w:rFonts w:ascii="Times New Roman" w:hAnsi="Times New Roman" w:cs="Times New Roman"/>
        </w:rPr>
        <w:t xml:space="preserve"> 9 wyznaczono cztery pary starterów. W wyniku trawienia enzymem </w:t>
      </w:r>
      <w:proofErr w:type="spellStart"/>
      <w:r>
        <w:rPr>
          <w:rFonts w:ascii="Times New Roman" w:hAnsi="Times New Roman" w:cs="Times New Roman"/>
        </w:rPr>
        <w:t>RsaI</w:t>
      </w:r>
      <w:proofErr w:type="spellEnd"/>
      <w:r>
        <w:rPr>
          <w:rFonts w:ascii="Times New Roman" w:hAnsi="Times New Roman" w:cs="Times New Roman"/>
        </w:rPr>
        <w:t xml:space="preserve"> produktów PCR z wykorzystaniem markera Exp928 uzyskano produkty segregujące zgodnie z oceną odporności badanych klonów na patotyp Pa3. Zgodność obrazu trawienia produktu amplifikacji markera Exp928 z oceną odporności dla populacji mapującej </w:t>
      </w:r>
      <w:r w:rsidRPr="00753BBF">
        <w:rPr>
          <w:rFonts w:ascii="Times New Roman" w:hAnsi="Times New Roman" w:cs="Times New Roman"/>
        </w:rPr>
        <w:t>wynosiła 89%.</w:t>
      </w:r>
      <w:r>
        <w:rPr>
          <w:rFonts w:ascii="Times New Roman" w:hAnsi="Times New Roman" w:cs="Times New Roman"/>
        </w:rPr>
        <w:t xml:space="preserve"> Pozostałe markery nie segregowały zgodnie z odpornością na </w:t>
      </w:r>
      <w:r w:rsidRPr="00FA00CD">
        <w:rPr>
          <w:rFonts w:ascii="Times New Roman" w:hAnsi="Times New Roman" w:cs="Times New Roman"/>
          <w:i/>
        </w:rPr>
        <w:t>G. pallida</w:t>
      </w:r>
      <w:r>
        <w:rPr>
          <w:rFonts w:ascii="Times New Roman" w:hAnsi="Times New Roman" w:cs="Times New Roman"/>
        </w:rPr>
        <w:t xml:space="preserve">. Dla sekwencji kodującej </w:t>
      </w:r>
      <w:proofErr w:type="spellStart"/>
      <w:r>
        <w:rPr>
          <w:rFonts w:ascii="Times New Roman" w:hAnsi="Times New Roman" w:cs="Times New Roman"/>
        </w:rPr>
        <w:t>monoksygenazę</w:t>
      </w:r>
      <w:proofErr w:type="spellEnd"/>
      <w:r>
        <w:rPr>
          <w:rFonts w:ascii="Times New Roman" w:hAnsi="Times New Roman" w:cs="Times New Roman"/>
        </w:rPr>
        <w:t xml:space="preserve"> 9 wyznaczono siedemnaście par starterów. Startery te niesegregowany zgodnie z odpornością na </w:t>
      </w:r>
      <w:r w:rsidRPr="00FA00CD">
        <w:rPr>
          <w:rFonts w:ascii="Times New Roman" w:hAnsi="Times New Roman" w:cs="Times New Roman"/>
          <w:i/>
        </w:rPr>
        <w:t>G. pallida</w:t>
      </w:r>
      <w:r>
        <w:rPr>
          <w:rFonts w:ascii="Times New Roman" w:hAnsi="Times New Roman" w:cs="Times New Roman"/>
        </w:rPr>
        <w:t xml:space="preserve">. Dla sekwencji kodującej katalazę wyznaczono osiem par starterów. Startery te niesegregowany zgodnie z odpornością na </w:t>
      </w:r>
      <w:r w:rsidRPr="00FA00CD">
        <w:rPr>
          <w:rFonts w:ascii="Times New Roman" w:hAnsi="Times New Roman" w:cs="Times New Roman"/>
          <w:i/>
        </w:rPr>
        <w:t>G. pallida</w:t>
      </w:r>
      <w:r>
        <w:rPr>
          <w:rFonts w:ascii="Times New Roman" w:hAnsi="Times New Roman" w:cs="Times New Roman"/>
        </w:rPr>
        <w:t>.</w:t>
      </w:r>
    </w:p>
    <w:p w14:paraId="2C522638" w14:textId="77777777" w:rsidR="00FA00CD" w:rsidRPr="00FA00CD" w:rsidRDefault="00FA00CD" w:rsidP="00FA00CD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Do zabezpieczenia w kolekcji in vitro oraz w formie </w:t>
      </w:r>
      <w:proofErr w:type="spellStart"/>
      <w:r>
        <w:rPr>
          <w:rFonts w:ascii="Times New Roman" w:hAnsi="Times New Roman" w:cs="Times New Roman"/>
        </w:rPr>
        <w:t>pylku</w:t>
      </w:r>
      <w:proofErr w:type="spellEnd"/>
      <w:r>
        <w:rPr>
          <w:rFonts w:ascii="Times New Roman" w:hAnsi="Times New Roman" w:cs="Times New Roman"/>
        </w:rPr>
        <w:t xml:space="preserve"> wybrano 12 klonów o złożonej odporności na mątwiki, </w:t>
      </w:r>
      <w:r w:rsidRPr="00FB0D03">
        <w:rPr>
          <w:rFonts w:ascii="Times New Roman" w:hAnsi="Times New Roman" w:cs="Times New Roman"/>
        </w:rPr>
        <w:t>posiadające molekularne markery genów odporności</w:t>
      </w:r>
      <w:r>
        <w:rPr>
          <w:rFonts w:ascii="Times New Roman" w:hAnsi="Times New Roman" w:cs="Times New Roman"/>
        </w:rPr>
        <w:t xml:space="preserve"> oraz jeden klon </w:t>
      </w:r>
      <w:proofErr w:type="spellStart"/>
      <w:r>
        <w:rPr>
          <w:rFonts w:ascii="Times New Roman" w:hAnsi="Times New Roman" w:cs="Times New Roman"/>
        </w:rPr>
        <w:t>interploidalny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20C2E">
        <w:rPr>
          <w:rFonts w:ascii="Times New Roman" w:hAnsi="Times New Roman" w:cs="Times New Roman"/>
        </w:rPr>
        <w:t xml:space="preserve">o potwierdzonej odporności na patotypy Pa2/3 wprowadzonej ze zmapowanego źródła </w:t>
      </w:r>
      <w:r w:rsidRPr="00620C2E">
        <w:rPr>
          <w:rFonts w:ascii="Times New Roman" w:hAnsi="Times New Roman" w:cs="Times New Roman"/>
          <w:i/>
        </w:rPr>
        <w:t>S. gourlayi</w:t>
      </w:r>
      <w:r w:rsidRPr="00620C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A00CD">
        <w:rPr>
          <w:rFonts w:ascii="Times New Roman" w:hAnsi="Times New Roman" w:cs="Times New Roman"/>
        </w:rPr>
        <w:t xml:space="preserve">Zebrany pyłek  zbadano pod kątem płodności i zabezpieczono w ciekłym azocie. Płodność pyłku wybranych form tetraploidalnych wynosiła średnio 85%. Płodność pyłku wybranej formy </w:t>
      </w:r>
      <w:proofErr w:type="spellStart"/>
      <w:r w:rsidRPr="00FA00CD">
        <w:rPr>
          <w:rFonts w:ascii="Times New Roman" w:hAnsi="Times New Roman" w:cs="Times New Roman"/>
        </w:rPr>
        <w:t>interploidalnej</w:t>
      </w:r>
      <w:proofErr w:type="spellEnd"/>
      <w:r w:rsidRPr="00FA00CD">
        <w:rPr>
          <w:rFonts w:ascii="Times New Roman" w:hAnsi="Times New Roman" w:cs="Times New Roman"/>
        </w:rPr>
        <w:t xml:space="preserve"> Inter – 2 wynosiła 45%. </w:t>
      </w:r>
    </w:p>
    <w:p w14:paraId="6691018A" w14:textId="77777777" w:rsidR="009F4396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0DB4">
        <w:rPr>
          <w:rFonts w:ascii="Times New Roman" w:hAnsi="Times New Roman" w:cs="Times New Roman"/>
          <w:b/>
          <w:bCs/>
        </w:rPr>
        <w:t>Wnioski:</w:t>
      </w:r>
    </w:p>
    <w:p w14:paraId="63F50B1C" w14:textId="77777777" w:rsidR="00FA00CD" w:rsidRPr="000628B6" w:rsidRDefault="00FA00CD" w:rsidP="00AC1D13">
      <w:pPr>
        <w:pStyle w:val="Tekstpodstawowywcity"/>
        <w:numPr>
          <w:ilvl w:val="0"/>
          <w:numId w:val="7"/>
        </w:numPr>
        <w:suppressAutoHyphens/>
        <w:ind w:left="567"/>
        <w:jc w:val="both"/>
        <w:rPr>
          <w:rFonts w:ascii="Times New Roman" w:hAnsi="Times New Roman" w:cs="Times New Roman"/>
          <w:u w:val="single"/>
        </w:rPr>
      </w:pPr>
      <w:r w:rsidRPr="00177379">
        <w:rPr>
          <w:rFonts w:ascii="Times New Roman" w:hAnsi="Times New Roman"/>
        </w:rPr>
        <w:t xml:space="preserve">Ocena odporności wybranych klonów tetraploidalnych potwierdza wysoką złożoną odporność klonów pochodzących z krzyżowań </w:t>
      </w:r>
      <w:r w:rsidRPr="00177379">
        <w:rPr>
          <w:rFonts w:ascii="Times New Roman" w:hAnsi="Times New Roman" w:cs="Times New Roman"/>
        </w:rPr>
        <w:t xml:space="preserve">łączących odporność na </w:t>
      </w:r>
      <w:r w:rsidRPr="00177379">
        <w:rPr>
          <w:rFonts w:ascii="Times New Roman" w:hAnsi="Times New Roman" w:cs="Times New Roman"/>
          <w:i/>
        </w:rPr>
        <w:t>G. rostochiensis</w:t>
      </w:r>
      <w:r w:rsidRPr="00177379">
        <w:rPr>
          <w:rFonts w:ascii="Times New Roman" w:hAnsi="Times New Roman" w:cs="Times New Roman"/>
        </w:rPr>
        <w:t xml:space="preserve"> z odpornością na </w:t>
      </w:r>
      <w:r w:rsidRPr="00177379">
        <w:rPr>
          <w:rFonts w:ascii="Times New Roman" w:hAnsi="Times New Roman" w:cs="Times New Roman"/>
          <w:i/>
        </w:rPr>
        <w:t>G.</w:t>
      </w:r>
      <w:r w:rsidR="00AC1D13" w:rsidRPr="00751B8D">
        <w:rPr>
          <w:rFonts w:ascii="Times New Roman" w:hAnsi="Times New Roman" w:cs="Times New Roman"/>
          <w:bCs/>
        </w:rPr>
        <w:t> </w:t>
      </w:r>
      <w:r w:rsidRPr="00177379">
        <w:rPr>
          <w:rFonts w:ascii="Times New Roman" w:hAnsi="Times New Roman" w:cs="Times New Roman"/>
          <w:i/>
        </w:rPr>
        <w:t>pallida</w:t>
      </w:r>
      <w:r w:rsidRPr="001773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Wybrane klony</w:t>
      </w:r>
      <w:r w:rsidRPr="00177379">
        <w:rPr>
          <w:rFonts w:ascii="Times New Roman" w:hAnsi="Times New Roman" w:cs="Times New Roman"/>
        </w:rPr>
        <w:t xml:space="preserve"> wyróżnia</w:t>
      </w:r>
      <w:r>
        <w:rPr>
          <w:rFonts w:ascii="Times New Roman" w:hAnsi="Times New Roman" w:cs="Times New Roman"/>
        </w:rPr>
        <w:t>ją</w:t>
      </w:r>
      <w:r w:rsidRPr="00177379">
        <w:rPr>
          <w:rFonts w:ascii="Times New Roman" w:hAnsi="Times New Roman" w:cs="Times New Roman"/>
        </w:rPr>
        <w:t xml:space="preserve"> się</w:t>
      </w:r>
      <w:r w:rsidRPr="00003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jednocześnie wysokim poziomem cech agrotechnicznych i stanowią atrakcyjną grupę materiałów wyjściowych. </w:t>
      </w:r>
    </w:p>
    <w:p w14:paraId="4AB8144D" w14:textId="77777777" w:rsidR="00FA00CD" w:rsidRPr="00FA00CD" w:rsidRDefault="00FA00CD" w:rsidP="00AC1D13">
      <w:pPr>
        <w:pStyle w:val="Tekstpodstawowywcity"/>
        <w:numPr>
          <w:ilvl w:val="0"/>
          <w:numId w:val="7"/>
        </w:numPr>
        <w:suppressAutoHyphens/>
        <w:ind w:left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Możliwe jest przeniesienie odporności zidentyfikowanej w </w:t>
      </w:r>
      <w:r w:rsidRPr="00196411">
        <w:rPr>
          <w:rFonts w:ascii="Times New Roman" w:hAnsi="Times New Roman" w:cs="Times New Roman"/>
          <w:i/>
        </w:rPr>
        <w:t>S. gourlayi</w:t>
      </w:r>
      <w:r>
        <w:rPr>
          <w:rFonts w:ascii="Times New Roman" w:hAnsi="Times New Roman" w:cs="Times New Roman"/>
        </w:rPr>
        <w:t xml:space="preserve"> na poziom tetraploidalny. Wśród klonów uzyskanych z krzyżowania klonu diploidalnego - donora odporności na </w:t>
      </w:r>
      <w:r w:rsidRPr="00A34FEF">
        <w:rPr>
          <w:rFonts w:ascii="Times New Roman" w:hAnsi="Times New Roman" w:cs="Times New Roman"/>
          <w:i/>
        </w:rPr>
        <w:t>G. pallida</w:t>
      </w:r>
      <w:r>
        <w:rPr>
          <w:rFonts w:ascii="Times New Roman" w:hAnsi="Times New Roman" w:cs="Times New Roman"/>
        </w:rPr>
        <w:t xml:space="preserve"> Pa2/3 ze źródła </w:t>
      </w:r>
      <w:r w:rsidRPr="00A34FEF">
        <w:rPr>
          <w:rFonts w:ascii="Times New Roman" w:hAnsi="Times New Roman" w:cs="Times New Roman"/>
          <w:i/>
        </w:rPr>
        <w:t>S. gourlayi</w:t>
      </w:r>
      <w:r>
        <w:rPr>
          <w:rFonts w:ascii="Times New Roman" w:hAnsi="Times New Roman" w:cs="Times New Roman"/>
        </w:rPr>
        <w:t xml:space="preserve"> oraz tetraploidalnych klonów podatnych zidentyfikowano klon Inter - 2, który wykazał odporność na oba te patotypy. </w:t>
      </w:r>
    </w:p>
    <w:p w14:paraId="12EFB3BA" w14:textId="77777777" w:rsidR="00AC1D13" w:rsidRDefault="00FA00CD" w:rsidP="00AC1D13">
      <w:pPr>
        <w:pStyle w:val="Tekstpodstawowywcity"/>
        <w:numPr>
          <w:ilvl w:val="0"/>
          <w:numId w:val="7"/>
        </w:numPr>
        <w:suppressAutoHyphens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C1D13">
        <w:rPr>
          <w:rFonts w:ascii="Times New Roman" w:hAnsi="Times New Roman" w:cs="Times New Roman"/>
        </w:rPr>
        <w:lastRenderedPageBreak/>
        <w:t xml:space="preserve">Zidentyfikowano marker PCR Exp928 typu CAPS związany z odpornością na patotyp Pa3 </w:t>
      </w:r>
      <w:r w:rsidRPr="00AC1D13">
        <w:rPr>
          <w:rFonts w:ascii="Times New Roman" w:hAnsi="Times New Roman" w:cs="Times New Roman"/>
          <w:i/>
        </w:rPr>
        <w:t>G.</w:t>
      </w:r>
      <w:r w:rsidR="00AC1D13" w:rsidRPr="00751B8D">
        <w:rPr>
          <w:rFonts w:ascii="Times New Roman" w:hAnsi="Times New Roman" w:cs="Times New Roman"/>
          <w:bCs/>
        </w:rPr>
        <w:t> </w:t>
      </w:r>
      <w:r w:rsidRPr="00AC1D13">
        <w:rPr>
          <w:rFonts w:ascii="Times New Roman" w:hAnsi="Times New Roman" w:cs="Times New Roman"/>
          <w:i/>
        </w:rPr>
        <w:t>pallida</w:t>
      </w:r>
      <w:r w:rsidRPr="00AC1D13">
        <w:rPr>
          <w:rFonts w:ascii="Times New Roman" w:hAnsi="Times New Roman" w:cs="Times New Roman"/>
        </w:rPr>
        <w:t xml:space="preserve"> ze źródła </w:t>
      </w:r>
      <w:r w:rsidRPr="00AC1D13">
        <w:rPr>
          <w:rFonts w:ascii="Times New Roman" w:hAnsi="Times New Roman" w:cs="Times New Roman"/>
          <w:i/>
        </w:rPr>
        <w:t>Solanum gourlayi</w:t>
      </w:r>
      <w:r w:rsidRPr="00AC1D13">
        <w:rPr>
          <w:rFonts w:ascii="Times New Roman" w:hAnsi="Times New Roman" w:cs="Times New Roman"/>
        </w:rPr>
        <w:t xml:space="preserve"> oraz potwierdzono jego selekcyjność w stosunku do badanej cechy. Zgodność obrazu trawienia produktu amplifikacji markera Exp928 </w:t>
      </w:r>
      <w:r w:rsidR="00AC1D13" w:rsidRPr="00AC1D13">
        <w:rPr>
          <w:rFonts w:ascii="Times New Roman" w:hAnsi="Times New Roman" w:cs="Times New Roman"/>
        </w:rPr>
        <w:t>z oceną odporności wynosiła 89%.</w:t>
      </w:r>
    </w:p>
    <w:p w14:paraId="10CEB3AD" w14:textId="77777777" w:rsidR="00FA00CD" w:rsidRPr="00AC1D13" w:rsidRDefault="00FA00CD" w:rsidP="00AC1D13">
      <w:pPr>
        <w:pStyle w:val="Tekstpodstawowywcity"/>
        <w:numPr>
          <w:ilvl w:val="0"/>
          <w:numId w:val="7"/>
        </w:numPr>
        <w:suppressAutoHyphens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C1D13">
        <w:rPr>
          <w:rFonts w:ascii="Times New Roman" w:hAnsi="Times New Roman" w:cs="Times New Roman"/>
        </w:rPr>
        <w:t>Zabezpieczono w kolekcji in vitro i w formie pyłku klony o złożonej odporności na mątwiki, posiadające molekularne markery genów odporności.</w:t>
      </w:r>
    </w:p>
    <w:p w14:paraId="64CFA3CD" w14:textId="77777777" w:rsidR="009F4396" w:rsidRPr="00AC1D13" w:rsidRDefault="00FA00CD" w:rsidP="00AC1D13">
      <w:pPr>
        <w:pStyle w:val="Tekstpodstawowywcity"/>
        <w:numPr>
          <w:ilvl w:val="0"/>
          <w:numId w:val="7"/>
        </w:numPr>
        <w:suppressAutoHyphens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B0D03">
        <w:rPr>
          <w:rFonts w:ascii="Times New Roman" w:hAnsi="Times New Roman" w:cs="Times New Roman"/>
        </w:rPr>
        <w:t>Zabezpieczono</w:t>
      </w:r>
      <w:r>
        <w:rPr>
          <w:rFonts w:ascii="Times New Roman" w:hAnsi="Times New Roman" w:cs="Times New Roman"/>
        </w:rPr>
        <w:t xml:space="preserve"> w kolekcji in vitro i w formie pyłku</w:t>
      </w:r>
      <w:r w:rsidRPr="00FB0D03">
        <w:rPr>
          <w:rFonts w:ascii="Times New Roman" w:hAnsi="Times New Roman" w:cs="Times New Roman"/>
        </w:rPr>
        <w:t xml:space="preserve"> form</w:t>
      </w:r>
      <w:r>
        <w:rPr>
          <w:rFonts w:ascii="Times New Roman" w:hAnsi="Times New Roman" w:cs="Times New Roman"/>
        </w:rPr>
        <w:t>ę</w:t>
      </w:r>
      <w:r w:rsidRPr="00FB0D03">
        <w:rPr>
          <w:rFonts w:ascii="Times New Roman" w:hAnsi="Times New Roman" w:cs="Times New Roman"/>
        </w:rPr>
        <w:t xml:space="preserve"> </w:t>
      </w:r>
      <w:proofErr w:type="spellStart"/>
      <w:r w:rsidRPr="00FB0D03">
        <w:rPr>
          <w:rFonts w:ascii="Times New Roman" w:hAnsi="Times New Roman" w:cs="Times New Roman"/>
        </w:rPr>
        <w:t>interploidaln</w:t>
      </w:r>
      <w:r>
        <w:rPr>
          <w:rFonts w:ascii="Times New Roman" w:hAnsi="Times New Roman" w:cs="Times New Roman"/>
        </w:rPr>
        <w:t>ą</w:t>
      </w:r>
      <w:proofErr w:type="spellEnd"/>
      <w:r w:rsidRPr="00FB0D03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ą</w:t>
      </w:r>
      <w:r w:rsidRPr="00FB0D03">
        <w:rPr>
          <w:rFonts w:ascii="Times New Roman" w:hAnsi="Times New Roman" w:cs="Times New Roman"/>
        </w:rPr>
        <w:t xml:space="preserve"> tetraploidalne źródło odporności przeniesionej z </w:t>
      </w:r>
      <w:r w:rsidRPr="00FB0D03">
        <w:rPr>
          <w:rFonts w:ascii="Times New Roman" w:hAnsi="Times New Roman" w:cs="Times New Roman"/>
          <w:i/>
        </w:rPr>
        <w:t>Solanum gourlayi</w:t>
      </w:r>
      <w:r w:rsidRPr="00FB0D03">
        <w:rPr>
          <w:rFonts w:ascii="Times New Roman" w:hAnsi="Times New Roman" w:cs="Times New Roman"/>
        </w:rPr>
        <w:t>.</w:t>
      </w:r>
    </w:p>
    <w:p w14:paraId="0CCBD2E8" w14:textId="77777777" w:rsidR="009F4396" w:rsidRPr="009F4396" w:rsidRDefault="009F4396" w:rsidP="009F4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66C32F" w14:textId="77777777" w:rsidR="001515BB" w:rsidRPr="009F4396" w:rsidRDefault="001515BB"/>
    <w:sectPr w:rsidR="001515BB" w:rsidRPr="009F4396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9271AD9"/>
    <w:multiLevelType w:val="hybridMultilevel"/>
    <w:tmpl w:val="7C16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096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6AB97B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396"/>
    <w:rsid w:val="001515BB"/>
    <w:rsid w:val="00593BF3"/>
    <w:rsid w:val="0067299E"/>
    <w:rsid w:val="00761A89"/>
    <w:rsid w:val="00931D76"/>
    <w:rsid w:val="009F4396"/>
    <w:rsid w:val="00AC1D13"/>
    <w:rsid w:val="00AD1397"/>
    <w:rsid w:val="00E21218"/>
    <w:rsid w:val="00E67254"/>
    <w:rsid w:val="00F16C7D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C41F"/>
  <w15:docId w15:val="{5A92DA2E-12C1-4C60-9844-F0788ACA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1D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Sikora</dc:creator>
  <cp:lastModifiedBy>Angelika Sikora</cp:lastModifiedBy>
  <cp:revision>2</cp:revision>
  <dcterms:created xsi:type="dcterms:W3CDTF">2021-02-22T11:17:00Z</dcterms:created>
  <dcterms:modified xsi:type="dcterms:W3CDTF">2021-02-22T11:17:00Z</dcterms:modified>
</cp:coreProperties>
</file>