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BB" w:rsidRPr="00195AD1" w:rsidRDefault="006169BB" w:rsidP="006169BB">
      <w:pPr>
        <w:tabs>
          <w:tab w:val="num" w:pos="0"/>
          <w:tab w:val="left" w:pos="5028"/>
        </w:tabs>
        <w:contextualSpacing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195AD1">
        <w:rPr>
          <w:rFonts w:ascii="Times New Roman" w:eastAsia="Times New Roman" w:hAnsi="Times New Roman" w:cs="Times New Roman"/>
          <w:b/>
          <w:noProof/>
          <w:sz w:val="20"/>
          <w:szCs w:val="20"/>
        </w:rPr>
        <w:t>Streszczenie zadania za 2020 r. w Programie Badań Podstawowych w Produkcji Roślinnej.</w:t>
      </w:r>
    </w:p>
    <w:p w:rsidR="00413F18" w:rsidRPr="00195AD1" w:rsidRDefault="00171BBC" w:rsidP="00D3480A">
      <w:pPr>
        <w:tabs>
          <w:tab w:val="left" w:pos="1980"/>
        </w:tabs>
        <w:ind w:right="-471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</w:pPr>
      <w:r w:rsidRPr="00195AD1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  <w:t>Zadanie</w:t>
      </w:r>
      <w:r w:rsidR="00413F18" w:rsidRPr="00195AD1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  <w:t xml:space="preserve"> nr 9</w:t>
      </w:r>
    </w:p>
    <w:p w:rsidR="00413F18" w:rsidRPr="00195AD1" w:rsidRDefault="00171BBC" w:rsidP="00D3480A">
      <w:pPr>
        <w:tabs>
          <w:tab w:val="left" w:pos="1980"/>
        </w:tabs>
        <w:ind w:right="-471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</w:pPr>
      <w:r w:rsidRPr="00195AD1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  <w:t>Kierownik zadania</w:t>
      </w:r>
      <w:r w:rsidR="00413F18" w:rsidRPr="00195AD1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  <w:t>: dr inż. Aleksandra Pietrusińska</w:t>
      </w:r>
    </w:p>
    <w:p w:rsidR="00413F18" w:rsidRPr="00195AD1" w:rsidRDefault="00413F18" w:rsidP="00D3480A">
      <w:pPr>
        <w:tabs>
          <w:tab w:val="left" w:pos="1980"/>
        </w:tabs>
        <w:ind w:right="-471"/>
        <w:rPr>
          <w:rFonts w:ascii="Times New Roman" w:eastAsia="Times New Roman" w:hAnsi="Times New Roman" w:cs="Times New Roman"/>
          <w:bCs/>
          <w:noProof/>
          <w:color w:val="auto"/>
          <w:sz w:val="20"/>
          <w:szCs w:val="20"/>
          <w:lang w:val="pl-PL" w:eastAsia="en-US"/>
        </w:rPr>
      </w:pPr>
      <w:r w:rsidRPr="00195AD1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pl-PL" w:eastAsia="en-US"/>
        </w:rPr>
        <w:t xml:space="preserve">Tytuł zadania: </w:t>
      </w:r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 xml:space="preserve">Efektywność </w:t>
      </w:r>
      <w:proofErr w:type="spellStart"/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>piramidowania</w:t>
      </w:r>
      <w:proofErr w:type="spellEnd"/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 xml:space="preserve"> genów odporności na mączniaka prawdziwego (</w:t>
      </w:r>
      <w:r w:rsidRPr="00195AD1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pl-PL" w:eastAsia="en-US"/>
        </w:rPr>
        <w:t>Blumeria graminis</w:t>
      </w:r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 xml:space="preserve"> </w:t>
      </w:r>
      <w:proofErr w:type="spellStart"/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>f.sp</w:t>
      </w:r>
      <w:proofErr w:type="spellEnd"/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 xml:space="preserve">. </w:t>
      </w:r>
      <w:proofErr w:type="spellStart"/>
      <w:r w:rsidRPr="00195AD1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pl-PL" w:eastAsia="en-US"/>
        </w:rPr>
        <w:t>tritici</w:t>
      </w:r>
      <w:proofErr w:type="spellEnd"/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>) i rdzę brunatną (</w:t>
      </w:r>
      <w:r w:rsidRPr="00195AD1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pl-PL" w:eastAsia="en-US"/>
        </w:rPr>
        <w:t>Puccinia triticina</w:t>
      </w:r>
      <w:r w:rsidRPr="00195AD1">
        <w:rPr>
          <w:rFonts w:ascii="Times New Roman" w:eastAsia="Times New Roman" w:hAnsi="Times New Roman" w:cs="Times New Roman"/>
          <w:bCs/>
          <w:color w:val="auto"/>
          <w:sz w:val="20"/>
          <w:szCs w:val="20"/>
          <w:lang w:val="pl-PL" w:eastAsia="en-US"/>
        </w:rPr>
        <w:t>) w pszenicy ozimej</w:t>
      </w:r>
      <w:r w:rsidRPr="00195AD1">
        <w:rPr>
          <w:rFonts w:ascii="Times New Roman" w:eastAsia="Times New Roman" w:hAnsi="Times New Roman" w:cs="Times New Roman"/>
          <w:bCs/>
          <w:noProof/>
          <w:color w:val="auto"/>
          <w:sz w:val="20"/>
          <w:szCs w:val="20"/>
          <w:lang w:val="pl-PL" w:eastAsia="en-US"/>
        </w:rPr>
        <w:t xml:space="preserve"> </w:t>
      </w:r>
    </w:p>
    <w:p w:rsidR="00413F18" w:rsidRPr="00195AD1" w:rsidRDefault="00413F18" w:rsidP="00D3480A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95AD1">
        <w:rPr>
          <w:rFonts w:ascii="Times New Roman" w:hAnsi="Times New Roman" w:cs="Times New Roman"/>
          <w:b/>
          <w:sz w:val="20"/>
          <w:szCs w:val="20"/>
          <w:lang w:val="pl-PL"/>
        </w:rPr>
        <w:t xml:space="preserve">W ramach realizowanego tematu wykonywane są trzy zadania badawcze: </w:t>
      </w:r>
    </w:p>
    <w:p w:rsidR="00413F18" w:rsidRPr="00195AD1" w:rsidRDefault="00413F18" w:rsidP="00E602E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95AD1">
        <w:rPr>
          <w:rFonts w:ascii="Times New Roman" w:hAnsi="Times New Roman" w:cs="Times New Roman"/>
          <w:b/>
          <w:sz w:val="20"/>
          <w:szCs w:val="20"/>
          <w:lang w:val="pl-PL"/>
        </w:rPr>
        <w:t>Zadanie badawcze 1.</w:t>
      </w:r>
      <w:r w:rsidRPr="00195AD1">
        <w:rPr>
          <w:rFonts w:ascii="Times New Roman" w:hAnsi="Times New Roman" w:cs="Times New Roman"/>
          <w:sz w:val="20"/>
          <w:szCs w:val="20"/>
          <w:lang w:val="pl-PL"/>
        </w:rPr>
        <w:t xml:space="preserve"> Piramidowanie efektywnych genów odporności</w:t>
      </w:r>
    </w:p>
    <w:p w:rsidR="00413F18" w:rsidRPr="00195AD1" w:rsidRDefault="00413F18" w:rsidP="00E602E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95AD1">
        <w:rPr>
          <w:rFonts w:ascii="Times New Roman" w:hAnsi="Times New Roman" w:cs="Times New Roman"/>
          <w:b/>
          <w:sz w:val="20"/>
          <w:szCs w:val="20"/>
          <w:lang w:val="pl-PL"/>
        </w:rPr>
        <w:t>Zadanie badawcze 2.</w:t>
      </w:r>
      <w:r w:rsidRPr="00195AD1">
        <w:rPr>
          <w:rFonts w:ascii="Times New Roman" w:hAnsi="Times New Roman" w:cs="Times New Roman"/>
          <w:sz w:val="20"/>
          <w:szCs w:val="20"/>
          <w:lang w:val="pl-PL"/>
        </w:rPr>
        <w:t xml:space="preserve"> Poszukiwanie nowych źródeł odporności</w:t>
      </w:r>
    </w:p>
    <w:p w:rsidR="00413F18" w:rsidRPr="00195AD1" w:rsidRDefault="00413F18" w:rsidP="00E602EF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95AD1">
        <w:rPr>
          <w:rFonts w:ascii="Times New Roman" w:hAnsi="Times New Roman" w:cs="Times New Roman"/>
          <w:b/>
          <w:sz w:val="20"/>
          <w:szCs w:val="20"/>
          <w:lang w:val="pl-PL"/>
        </w:rPr>
        <w:t>Zadanie badawcze 3.</w:t>
      </w:r>
      <w:r w:rsidRPr="00195AD1">
        <w:rPr>
          <w:rFonts w:ascii="Times New Roman" w:hAnsi="Times New Roman" w:cs="Times New Roman"/>
          <w:sz w:val="20"/>
          <w:szCs w:val="20"/>
          <w:lang w:val="pl-PL"/>
        </w:rPr>
        <w:t xml:space="preserve"> Ocena linii w różnych warunkach środowiskowych</w:t>
      </w:r>
    </w:p>
    <w:p w:rsidR="00E602EF" w:rsidRPr="00195AD1" w:rsidRDefault="00413F18" w:rsidP="00E602E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195AD1">
        <w:rPr>
          <w:rFonts w:ascii="Times New Roman" w:hAnsi="Times New Roman" w:cs="Times New Roman"/>
          <w:b/>
          <w:sz w:val="20"/>
          <w:szCs w:val="20"/>
        </w:rPr>
        <w:t>Cele zadania</w:t>
      </w:r>
    </w:p>
    <w:p w:rsidR="00413F18" w:rsidRPr="00195AD1" w:rsidRDefault="00413F18" w:rsidP="00E602EF">
      <w:pPr>
        <w:pStyle w:val="Akapitzlist"/>
        <w:numPr>
          <w:ilvl w:val="1"/>
          <w:numId w:val="3"/>
        </w:numPr>
        <w:ind w:left="709" w:hanging="425"/>
        <w:rPr>
          <w:rFonts w:ascii="Times New Roman" w:hAnsi="Times New Roman" w:cs="Times New Roman"/>
          <w:b/>
          <w:sz w:val="20"/>
          <w:szCs w:val="20"/>
        </w:rPr>
      </w:pPr>
      <w:r w:rsidRPr="00195AD1">
        <w:rPr>
          <w:rFonts w:ascii="Times New Roman" w:hAnsi="Times New Roman" w:cs="Times New Roman"/>
          <w:b/>
          <w:i/>
          <w:sz w:val="20"/>
          <w:szCs w:val="20"/>
          <w:lang w:val="pl-PL"/>
        </w:rPr>
        <w:t>Piramidowanie efektywnych genów odporności</w:t>
      </w:r>
    </w:p>
    <w:p w:rsidR="00195AD1" w:rsidRPr="00195AD1" w:rsidRDefault="00195AD1" w:rsidP="00195AD1">
      <w:pPr>
        <w:ind w:left="284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Celem tematu badawczego 1 w 2020 roku była selekcja materiału roślinnego pod kątem uzyskanych we wcześniejszych latach kombinacji efektywnych genów w różnych segmentach odpornościowych. Cel tematu badawczego składał się z następujących etapów:</w:t>
      </w:r>
    </w:p>
    <w:p w:rsidR="00195AD1" w:rsidRPr="00195AD1" w:rsidRDefault="00195AD1" w:rsidP="00195AD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wykonanie krzyżowań wstecznych (wypierających) z 4 odmianami pszenic ozimych: Hondia, Formacja, RGT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Bilanz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>, Euforia,</w:t>
      </w:r>
    </w:p>
    <w:p w:rsidR="00195AD1" w:rsidRPr="00195AD1" w:rsidRDefault="00195AD1" w:rsidP="00195AD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przeprowadzenie selekcji fenotypowej materiału roślinnego pod kątem odporności / podatności na P. recondita oraz </w:t>
      </w:r>
      <w:r w:rsidRPr="00195AD1">
        <w:rPr>
          <w:rFonts w:ascii="Times New Roman" w:hAnsi="Times New Roman" w:cs="Times New Roman"/>
          <w:i/>
          <w:sz w:val="20"/>
          <w:szCs w:val="20"/>
        </w:rPr>
        <w:t>B. graminis</w:t>
      </w:r>
      <w:r w:rsidRPr="00195AD1">
        <w:rPr>
          <w:rFonts w:ascii="Times New Roman" w:hAnsi="Times New Roman" w:cs="Times New Roman"/>
          <w:sz w:val="20"/>
          <w:szCs w:val="20"/>
        </w:rPr>
        <w:t>,</w:t>
      </w:r>
    </w:p>
    <w:p w:rsidR="00195AD1" w:rsidRPr="00195AD1" w:rsidRDefault="00195AD1" w:rsidP="00195AD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przeprowadzenie selekcji molekularnej przy wykorzystaniu specyficznych markerów molekularnych pod kątem identyfikacji piramid genowych,</w:t>
      </w:r>
    </w:p>
    <w:p w:rsidR="00195AD1" w:rsidRPr="00195AD1" w:rsidRDefault="00195AD1" w:rsidP="00195AD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zestawienie zbiorcze linii pod kątem uzyskanych kombinacji genów odporności,</w:t>
      </w:r>
    </w:p>
    <w:p w:rsidR="00195AD1" w:rsidRPr="00195AD1" w:rsidRDefault="00195AD1" w:rsidP="00195AD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selekcja materiału roślinnego pod kątem obecności genu </w:t>
      </w:r>
      <w:r w:rsidRPr="00195AD1">
        <w:rPr>
          <w:rFonts w:ascii="Times New Roman" w:hAnsi="Times New Roman" w:cs="Times New Roman"/>
          <w:i/>
          <w:sz w:val="20"/>
          <w:szCs w:val="20"/>
        </w:rPr>
        <w:t xml:space="preserve">Lr55 </w:t>
      </w:r>
      <w:r w:rsidRPr="00195AD1">
        <w:rPr>
          <w:rFonts w:ascii="Times New Roman" w:hAnsi="Times New Roman" w:cs="Times New Roman"/>
          <w:sz w:val="20"/>
          <w:szCs w:val="20"/>
        </w:rPr>
        <w:t xml:space="preserve">przeprowadzona na 50-100 linii przy wykorzystaniu </w:t>
      </w:r>
      <w:r w:rsidRPr="00195AD1">
        <w:rPr>
          <w:rFonts w:ascii="Times New Roman" w:hAnsi="Times New Roman" w:cs="Times New Roman"/>
          <w:sz w:val="20"/>
          <w:szCs w:val="20"/>
        </w:rPr>
        <w:t>wyselekcjonowanych</w:t>
      </w:r>
      <w:r w:rsidRPr="00195AD1">
        <w:rPr>
          <w:rFonts w:ascii="Times New Roman" w:hAnsi="Times New Roman" w:cs="Times New Roman"/>
          <w:sz w:val="20"/>
          <w:szCs w:val="20"/>
        </w:rPr>
        <w:t xml:space="preserve"> dwóch markerów diagnostycznych.</w:t>
      </w:r>
    </w:p>
    <w:p w:rsidR="00D3480A" w:rsidRPr="00195AD1" w:rsidRDefault="00D3480A" w:rsidP="00336405">
      <w:pPr>
        <w:pStyle w:val="Akapitzlist"/>
        <w:numPr>
          <w:ilvl w:val="1"/>
          <w:numId w:val="3"/>
        </w:numPr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b/>
          <w:i/>
          <w:sz w:val="20"/>
          <w:szCs w:val="20"/>
          <w:lang w:val="pl-PL"/>
        </w:rPr>
        <w:t>Poszukiwanie nowych źródeł odporności</w:t>
      </w:r>
    </w:p>
    <w:p w:rsidR="00195AD1" w:rsidRPr="00195AD1" w:rsidRDefault="00195AD1" w:rsidP="00EB5701">
      <w:pPr>
        <w:pStyle w:val="Akapitzlist"/>
        <w:spacing w:before="240"/>
        <w:ind w:left="284"/>
        <w:jc w:val="both"/>
        <w:rPr>
          <w:rFonts w:ascii="Times New Roman" w:eastAsia="Times New Roman" w:hAnsi="Times New Roman" w:cs="Times New Roman"/>
          <w:i/>
          <w:noProof/>
          <w:color w:val="000000" w:themeColor="text1"/>
          <w:sz w:val="20"/>
          <w:szCs w:val="20"/>
        </w:rPr>
      </w:pPr>
      <w:r w:rsidRPr="00195AD1">
        <w:rPr>
          <w:rFonts w:ascii="Times New Roman" w:eastAsia="Times New Roman" w:hAnsi="Times New Roman" w:cs="Times New Roman"/>
          <w:noProof/>
          <w:sz w:val="20"/>
          <w:szCs w:val="20"/>
        </w:rPr>
        <w:t xml:space="preserve">W bieżącym roku sprawozdawczym, celem tematu badawczego 2 było poszukiwanie nowch, potencjalnie efektywnych źródeł odporności na choroby grzybowe, czyli mączniaka prawdziwego zbóż i traw oraz rdzę brunatną zbóż i traw. Celem prowadzonych badań było </w:t>
      </w:r>
      <w:r w:rsidRPr="00195AD1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</w:rPr>
        <w:t xml:space="preserve">również rozmnożenie materiału roślinnego, niezbędnego do przeprowadzenia doświadczeń fitopatologicznych przy wykorzystaniu specyficznych izolatów różnicujących.  </w:t>
      </w:r>
    </w:p>
    <w:p w:rsidR="00D3480A" w:rsidRPr="00195AD1" w:rsidRDefault="00D3480A" w:rsidP="00336405">
      <w:pPr>
        <w:pStyle w:val="Akapitzlist"/>
        <w:numPr>
          <w:ilvl w:val="1"/>
          <w:numId w:val="3"/>
        </w:numPr>
        <w:ind w:left="709" w:hanging="425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b/>
          <w:i/>
          <w:sz w:val="20"/>
          <w:szCs w:val="20"/>
          <w:lang w:val="pl-PL"/>
        </w:rPr>
        <w:t>Ocena linii w różnych warunkach środowiskowych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Celem tematu badawczego 3 w 2020 roku była ocena materiału roślinnego przeprowadzona w trzech lokalizacjach (HR Strzelce, HR Smolice IHAR-PIB Radzików), pod kątem odporności / podatności na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chorby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 xml:space="preserve"> grzybowe, a także pod kątem korzystnych cech gospodarczych. W ocenie materiału roślinnego uwzględniono łącznie 7 cech w tym: (1) przezimowanie, (2) kłoszenie, (3) wysokość, odporność na choroby: (4) rdza brunatna oraz (5) żółta, (6) mączniak prawdziwy, (7) septoriozy. Przeprowadzono doświadczenia jednopowtórzeniowe. Ocena materiału roślinnego dokonywana była w cotygodniowych odstępach czasu. Obiekty o wysokiej odporności na choroby oraz o korzystnych cechach gospodarczych stanowiły materiał wyjściowy do dalszych badań oraz doświadczeń polowych (zakładowych i in.) po zakończeniu projektu.</w:t>
      </w:r>
    </w:p>
    <w:p w:rsidR="00413F18" w:rsidRPr="001C52FE" w:rsidRDefault="00413F18" w:rsidP="008A0F96">
      <w:pPr>
        <w:pStyle w:val="Akapitzlist"/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18"/>
          <w:szCs w:val="18"/>
        </w:rPr>
      </w:pPr>
      <w:r w:rsidRPr="001C52FE">
        <w:rPr>
          <w:rFonts w:ascii="Times New Roman" w:eastAsia="Times New Roman" w:hAnsi="Times New Roman" w:cs="Times New Roman"/>
          <w:b/>
          <w:sz w:val="18"/>
          <w:szCs w:val="18"/>
        </w:rPr>
        <w:t>Wyniki i dyskusja</w:t>
      </w:r>
    </w:p>
    <w:p w:rsidR="00336405" w:rsidRPr="00195AD1" w:rsidRDefault="008A0F96" w:rsidP="004E568E">
      <w:pPr>
        <w:pStyle w:val="Akapitzlist"/>
        <w:numPr>
          <w:ilvl w:val="1"/>
          <w:numId w:val="11"/>
        </w:numPr>
        <w:ind w:left="709" w:hanging="425"/>
        <w:rPr>
          <w:rFonts w:ascii="Times New Roman" w:hAnsi="Times New Roman" w:cs="Times New Roman"/>
          <w:b/>
          <w:sz w:val="18"/>
          <w:szCs w:val="18"/>
        </w:rPr>
      </w:pPr>
      <w:r w:rsidRPr="001C52FE">
        <w:rPr>
          <w:rFonts w:ascii="Times New Roman" w:hAnsi="Times New Roman" w:cs="Times New Roman"/>
          <w:b/>
          <w:i/>
          <w:sz w:val="18"/>
          <w:szCs w:val="18"/>
          <w:lang w:val="pl-PL"/>
        </w:rPr>
        <w:t>Piramidowanie efektywnych genów odporności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W 2020 roku sprawozdawczym łącznie przebadano cztery populacje mieszańcowe BIO (BIO1, BIO2, BIO3, BIO4).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Wykonano łącznie 15 kombinacji krzyżowań wstecznych (Tabela 1). Rodzicami wypierającymi były odmiany pszenic ozimych odpowiednio: Hondia, Formacja, RGT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Bilanz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 xml:space="preserve"> oraz Euforia. Łącznie otrzymano 600 ziarniaków. W stadium drugiego liścia przeprowadzono inokulację roślin wykorzystując dwa różnicujące izolaty </w:t>
      </w:r>
      <w:r w:rsidRPr="00195AD1">
        <w:rPr>
          <w:rFonts w:ascii="Times New Roman" w:hAnsi="Times New Roman" w:cs="Times New Roman"/>
          <w:i/>
          <w:sz w:val="20"/>
          <w:szCs w:val="20"/>
        </w:rPr>
        <w:t>B. graminis</w:t>
      </w:r>
      <w:r w:rsidRPr="00195AD1">
        <w:rPr>
          <w:rFonts w:ascii="Times New Roman" w:hAnsi="Times New Roman" w:cs="Times New Roman"/>
          <w:sz w:val="20"/>
          <w:szCs w:val="20"/>
        </w:rPr>
        <w:t xml:space="preserve"> oraz </w:t>
      </w:r>
      <w:r w:rsidRPr="00195AD1">
        <w:rPr>
          <w:rFonts w:ascii="Times New Roman" w:hAnsi="Times New Roman" w:cs="Times New Roman"/>
          <w:i/>
          <w:sz w:val="20"/>
          <w:szCs w:val="20"/>
        </w:rPr>
        <w:t>P. triticina</w:t>
      </w:r>
      <w:r w:rsidRPr="00195AD1">
        <w:rPr>
          <w:rFonts w:ascii="Times New Roman" w:hAnsi="Times New Roman" w:cs="Times New Roman"/>
          <w:sz w:val="20"/>
          <w:szCs w:val="20"/>
        </w:rPr>
        <w:t>. Na podstawie oceny fitopatologicznej do badań molekularnych wyselekcjonowano łącznie 300 linii, jednocześnie odpornych na oba patogeny. Selekcja fenotypowa i molekularna populacji mieszańcowych BIO pozwoliła na wytypowanie linii o efektywnych piramidach genowych: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Populacja mieszańcowa BIO_1: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(1)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Lr41+Pm21+Lr47</w:t>
      </w:r>
      <w:r w:rsidRPr="00195AD1">
        <w:rPr>
          <w:rFonts w:ascii="Times New Roman" w:hAnsi="Times New Roman" w:cs="Times New Roman"/>
          <w:sz w:val="20"/>
          <w:szCs w:val="20"/>
        </w:rPr>
        <w:t>) ×Hondia – 5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(2)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Lr41+Pm21+Lr47</w:t>
      </w:r>
      <w:r w:rsidRPr="00195AD1">
        <w:rPr>
          <w:rFonts w:ascii="Times New Roman" w:hAnsi="Times New Roman" w:cs="Times New Roman"/>
          <w:sz w:val="20"/>
          <w:szCs w:val="20"/>
        </w:rPr>
        <w:t>) ×Formacja – 8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(3)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Lr41+Pm21+Lr47</w:t>
      </w:r>
      <w:r w:rsidRPr="00195AD1">
        <w:rPr>
          <w:rFonts w:ascii="Times New Roman" w:hAnsi="Times New Roman" w:cs="Times New Roman"/>
          <w:sz w:val="20"/>
          <w:szCs w:val="20"/>
        </w:rPr>
        <w:t xml:space="preserve">) ×RGT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Bilanz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 xml:space="preserve"> – 8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(4)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Lr41+Pm21+Lr47</w:t>
      </w:r>
      <w:r w:rsidRPr="00195AD1">
        <w:rPr>
          <w:rFonts w:ascii="Times New Roman" w:hAnsi="Times New Roman" w:cs="Times New Roman"/>
          <w:sz w:val="20"/>
          <w:szCs w:val="20"/>
        </w:rPr>
        <w:t>) ×Euforia – 10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Populacja mieszańcowa BIO_2: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(5)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Lr41+Pm21</w:t>
      </w:r>
      <w:r w:rsidRPr="00195AD1">
        <w:rPr>
          <w:rFonts w:ascii="Times New Roman" w:hAnsi="Times New Roman" w:cs="Times New Roman"/>
          <w:sz w:val="20"/>
          <w:szCs w:val="20"/>
        </w:rPr>
        <w:t>)×Hondia – 3 linie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(6) (</w:t>
      </w:r>
      <w:r w:rsidRPr="00195AD1">
        <w:rPr>
          <w:rFonts w:ascii="Times New Roman" w:hAnsi="Times New Roman" w:cs="Times New Roman"/>
          <w:i/>
          <w:sz w:val="20"/>
          <w:szCs w:val="20"/>
        </w:rPr>
        <w:t>Pm21+Lr47+Pm34</w:t>
      </w:r>
      <w:r w:rsidRPr="00195AD1">
        <w:rPr>
          <w:rFonts w:ascii="Times New Roman" w:hAnsi="Times New Roman" w:cs="Times New Roman"/>
          <w:sz w:val="20"/>
          <w:szCs w:val="20"/>
        </w:rPr>
        <w:t>)×Formacja – 5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(7) (</w:t>
      </w:r>
      <w:r w:rsidRPr="00195AD1">
        <w:rPr>
          <w:rFonts w:ascii="Times New Roman" w:hAnsi="Times New Roman" w:cs="Times New Roman"/>
          <w:i/>
          <w:sz w:val="20"/>
          <w:szCs w:val="20"/>
        </w:rPr>
        <w:t>Pm21+Lr47+Lr41</w:t>
      </w:r>
      <w:r w:rsidRPr="00195AD1">
        <w:rPr>
          <w:rFonts w:ascii="Times New Roman" w:hAnsi="Times New Roman" w:cs="Times New Roman"/>
          <w:sz w:val="20"/>
          <w:szCs w:val="20"/>
        </w:rPr>
        <w:t xml:space="preserve">)×RGT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Bilanz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 xml:space="preserve"> – 8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Populacja mieszańcowa BIO_3: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(8) (</w:t>
      </w:r>
      <w:r w:rsidRPr="00195AD1">
        <w:rPr>
          <w:rFonts w:ascii="Times New Roman" w:hAnsi="Times New Roman" w:cs="Times New Roman"/>
          <w:i/>
          <w:sz w:val="20"/>
          <w:szCs w:val="20"/>
        </w:rPr>
        <w:t>Pm21+Lr47</w:t>
      </w:r>
      <w:r w:rsidRPr="00195AD1">
        <w:rPr>
          <w:rFonts w:ascii="Times New Roman" w:hAnsi="Times New Roman" w:cs="Times New Roman"/>
          <w:sz w:val="20"/>
          <w:szCs w:val="20"/>
        </w:rPr>
        <w:t>)×Hondia – 7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(9) (</w:t>
      </w:r>
      <w:r w:rsidRPr="00195AD1">
        <w:rPr>
          <w:rFonts w:ascii="Times New Roman" w:hAnsi="Times New Roman" w:cs="Times New Roman"/>
          <w:i/>
          <w:sz w:val="20"/>
          <w:szCs w:val="20"/>
        </w:rPr>
        <w:t>Pm21+Lr47+Pm37</w:t>
      </w:r>
      <w:r w:rsidRPr="00195AD1">
        <w:rPr>
          <w:rFonts w:ascii="Times New Roman" w:hAnsi="Times New Roman" w:cs="Times New Roman"/>
          <w:sz w:val="20"/>
          <w:szCs w:val="20"/>
        </w:rPr>
        <w:t>)×Formacja – 12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Populacja mieszańcowa BIO_4: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(10) (</w:t>
      </w:r>
      <w:r w:rsidRPr="00195AD1">
        <w:rPr>
          <w:rFonts w:ascii="Times New Roman" w:hAnsi="Times New Roman" w:cs="Times New Roman"/>
          <w:i/>
          <w:sz w:val="20"/>
          <w:szCs w:val="20"/>
        </w:rPr>
        <w:t>Lr47+Lr41+Pm34</w:t>
      </w:r>
      <w:r w:rsidRPr="00195AD1">
        <w:rPr>
          <w:rFonts w:ascii="Times New Roman" w:hAnsi="Times New Roman" w:cs="Times New Roman"/>
          <w:sz w:val="20"/>
          <w:szCs w:val="20"/>
        </w:rPr>
        <w:t>)×Hondia – 10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(11) (</w:t>
      </w:r>
      <w:r w:rsidRPr="00195AD1">
        <w:rPr>
          <w:rFonts w:ascii="Times New Roman" w:hAnsi="Times New Roman" w:cs="Times New Roman"/>
          <w:i/>
          <w:sz w:val="20"/>
          <w:szCs w:val="20"/>
        </w:rPr>
        <w:t>Lr41+Pm34+Pm37</w:t>
      </w:r>
      <w:r w:rsidRPr="00195AD1">
        <w:rPr>
          <w:rFonts w:ascii="Times New Roman" w:hAnsi="Times New Roman" w:cs="Times New Roman"/>
          <w:sz w:val="20"/>
          <w:szCs w:val="20"/>
        </w:rPr>
        <w:t>)×Formacja – 12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ab/>
      </w:r>
      <w:r w:rsidRPr="00195AD1">
        <w:rPr>
          <w:rFonts w:ascii="Times New Roman" w:hAnsi="Times New Roman" w:cs="Times New Roman"/>
          <w:sz w:val="20"/>
          <w:szCs w:val="20"/>
        </w:rPr>
        <w:tab/>
        <w:t>(12) (</w:t>
      </w:r>
      <w:r w:rsidRPr="00195AD1">
        <w:rPr>
          <w:rFonts w:ascii="Times New Roman" w:hAnsi="Times New Roman" w:cs="Times New Roman"/>
          <w:i/>
          <w:sz w:val="20"/>
          <w:szCs w:val="20"/>
        </w:rPr>
        <w:t>Lr47+Lr41+Pm37</w:t>
      </w:r>
      <w:r w:rsidRPr="00195AD1">
        <w:rPr>
          <w:rFonts w:ascii="Times New Roman" w:hAnsi="Times New Roman" w:cs="Times New Roman"/>
          <w:sz w:val="20"/>
          <w:szCs w:val="20"/>
        </w:rPr>
        <w:t xml:space="preserve">)×RGT </w:t>
      </w:r>
      <w:proofErr w:type="spellStart"/>
      <w:r w:rsidRPr="00195AD1">
        <w:rPr>
          <w:rFonts w:ascii="Times New Roman" w:hAnsi="Times New Roman" w:cs="Times New Roman"/>
          <w:sz w:val="20"/>
          <w:szCs w:val="20"/>
        </w:rPr>
        <w:t>Bilanz</w:t>
      </w:r>
      <w:proofErr w:type="spellEnd"/>
      <w:r w:rsidRPr="00195AD1">
        <w:rPr>
          <w:rFonts w:ascii="Times New Roman" w:hAnsi="Times New Roman" w:cs="Times New Roman"/>
          <w:sz w:val="20"/>
          <w:szCs w:val="20"/>
        </w:rPr>
        <w:t xml:space="preserve"> – 6 linii</w:t>
      </w:r>
    </w:p>
    <w:p w:rsidR="00195AD1" w:rsidRPr="00195AD1" w:rsidRDefault="00195AD1" w:rsidP="00195AD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lastRenderedPageBreak/>
        <w:t>Na podstawie przeprowadzonych analiz molekularnych otrzymano łącznie 12 różnych kombinacji piramid genowych, łącznie to 94 linie. Wyselekcjonowane linie będą systematycznie rozmnażane i przekazane do Krajowego Centrum Roślinnych Zasobów Genowych w IHAR-PIB w Radzikowie.</w:t>
      </w:r>
    </w:p>
    <w:p w:rsidR="008A0F96" w:rsidRPr="00195AD1" w:rsidRDefault="008A0F96" w:rsidP="00336405">
      <w:pPr>
        <w:pStyle w:val="Akapitzlist"/>
        <w:numPr>
          <w:ilvl w:val="1"/>
          <w:numId w:val="11"/>
        </w:numPr>
        <w:ind w:left="709" w:hanging="425"/>
        <w:rPr>
          <w:rFonts w:ascii="Times New Roman" w:hAnsi="Times New Roman" w:cs="Times New Roman"/>
          <w:b/>
          <w:sz w:val="18"/>
          <w:szCs w:val="18"/>
        </w:rPr>
      </w:pPr>
      <w:r w:rsidRPr="001C52FE">
        <w:rPr>
          <w:rFonts w:ascii="Times New Roman" w:hAnsi="Times New Roman" w:cs="Times New Roman"/>
          <w:b/>
          <w:i/>
          <w:sz w:val="18"/>
          <w:szCs w:val="18"/>
          <w:lang w:val="pl-PL"/>
        </w:rPr>
        <w:t>Poszukiwanie nowych źródeł odporności</w:t>
      </w:r>
    </w:p>
    <w:p w:rsidR="00195AD1" w:rsidRPr="00195AD1" w:rsidRDefault="00195AD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 xml:space="preserve">Na podstawie przeprowadzonych testów fenotypowych określono reakcją badanego materiału roślinnego na zestaw izolatów </w:t>
      </w:r>
      <w:r w:rsidRPr="00EB5701">
        <w:rPr>
          <w:rFonts w:ascii="Times New Roman" w:hAnsi="Times New Roman" w:cs="Times New Roman"/>
          <w:i/>
          <w:sz w:val="20"/>
          <w:szCs w:val="20"/>
        </w:rPr>
        <w:t>P. recondita</w:t>
      </w:r>
      <w:r w:rsidRPr="00195AD1">
        <w:rPr>
          <w:rFonts w:ascii="Times New Roman" w:hAnsi="Times New Roman" w:cs="Times New Roman"/>
          <w:sz w:val="20"/>
          <w:szCs w:val="20"/>
        </w:rPr>
        <w:t xml:space="preserve"> oraz </w:t>
      </w:r>
      <w:r w:rsidRPr="00EB5701">
        <w:rPr>
          <w:rFonts w:ascii="Times New Roman" w:hAnsi="Times New Roman" w:cs="Times New Roman"/>
          <w:i/>
          <w:sz w:val="20"/>
          <w:szCs w:val="20"/>
        </w:rPr>
        <w:t>B. graminis</w:t>
      </w:r>
      <w:r w:rsidRPr="00195AD1">
        <w:rPr>
          <w:rFonts w:ascii="Times New Roman" w:hAnsi="Times New Roman" w:cs="Times New Roman"/>
          <w:sz w:val="20"/>
          <w:szCs w:val="20"/>
        </w:rPr>
        <w:t xml:space="preserve"> Doświadczenia fitopatologiczne obejmujące ocenę źródeł odporności pod kątem reakcji na populację P. recondita potwierdziły, że za efektywne źródła odporności </w:t>
      </w:r>
      <w:r w:rsidRPr="00195AD1">
        <w:rPr>
          <w:rFonts w:ascii="Times New Roman" w:hAnsi="Times New Roman" w:cs="Times New Roman"/>
          <w:sz w:val="20"/>
          <w:szCs w:val="20"/>
        </w:rPr>
        <w:tab/>
        <w:t>można zaliczyć linie z genami</w:t>
      </w:r>
      <w:r w:rsidRPr="00EB5701">
        <w:rPr>
          <w:rFonts w:ascii="Times New Roman" w:hAnsi="Times New Roman" w:cs="Times New Roman"/>
          <w:i/>
          <w:sz w:val="20"/>
          <w:szCs w:val="20"/>
        </w:rPr>
        <w:t>: Lr9, Lr34, Lr19, Lr41</w:t>
      </w:r>
      <w:r w:rsidRPr="00195AD1">
        <w:rPr>
          <w:rFonts w:ascii="Times New Roman" w:hAnsi="Times New Roman" w:cs="Times New Roman"/>
          <w:sz w:val="20"/>
          <w:szCs w:val="20"/>
        </w:rPr>
        <w:t>(=</w:t>
      </w:r>
      <w:r w:rsidRPr="00EB5701">
        <w:rPr>
          <w:rFonts w:ascii="Times New Roman" w:hAnsi="Times New Roman" w:cs="Times New Roman"/>
          <w:i/>
          <w:sz w:val="20"/>
          <w:szCs w:val="20"/>
        </w:rPr>
        <w:t>Lr39</w:t>
      </w:r>
      <w:r w:rsidRPr="00195AD1">
        <w:rPr>
          <w:rFonts w:ascii="Times New Roman" w:hAnsi="Times New Roman" w:cs="Times New Roman"/>
          <w:sz w:val="20"/>
          <w:szCs w:val="20"/>
        </w:rPr>
        <w:t xml:space="preserve">), </w:t>
      </w:r>
      <w:r w:rsidRPr="00EB5701">
        <w:rPr>
          <w:rFonts w:ascii="Times New Roman" w:hAnsi="Times New Roman" w:cs="Times New Roman"/>
          <w:i/>
          <w:sz w:val="20"/>
          <w:szCs w:val="20"/>
        </w:rPr>
        <w:t>Lr55, Lr62</w:t>
      </w:r>
      <w:r w:rsidRPr="00195AD1">
        <w:rPr>
          <w:rFonts w:ascii="Times New Roman" w:hAnsi="Times New Roman" w:cs="Times New Roman"/>
          <w:sz w:val="20"/>
          <w:szCs w:val="20"/>
        </w:rPr>
        <w:t xml:space="preserve"> oraz KS11WGRC53-J. Doświadczenia fitopatologiczne obejmujące ocenę źródeł odporności pod kątem reakcji na populację B. graminis potwierdziły, że za efektywne źródła odporności można zaliczyć linie z genami: </w:t>
      </w:r>
      <w:r w:rsidRPr="00EB5701">
        <w:rPr>
          <w:rFonts w:ascii="Times New Roman" w:hAnsi="Times New Roman" w:cs="Times New Roman"/>
          <w:i/>
          <w:sz w:val="20"/>
          <w:szCs w:val="20"/>
        </w:rPr>
        <w:t>Pm21, Pm37, Pm1+2+4b+9</w:t>
      </w:r>
      <w:r w:rsidRPr="00195AD1">
        <w:rPr>
          <w:rFonts w:ascii="Times New Roman" w:hAnsi="Times New Roman" w:cs="Times New Roman"/>
          <w:sz w:val="20"/>
          <w:szCs w:val="20"/>
        </w:rPr>
        <w:t>.</w:t>
      </w:r>
      <w:r w:rsidRPr="00195AD1">
        <w:rPr>
          <w:rFonts w:ascii="Times New Roman" w:hAnsi="Times New Roman" w:cs="Times New Roman"/>
          <w:sz w:val="20"/>
          <w:szCs w:val="20"/>
        </w:rPr>
        <w:tab/>
      </w:r>
    </w:p>
    <w:p w:rsidR="00195AD1" w:rsidRPr="00195AD1" w:rsidRDefault="00195AD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Mimo iż dawne odmiany zbóż stanowią unikatowe genotypy, na podstawie przeprowadzonych testów fenotypowych nie udało się wyselekcjonować żadnych odmian odpornych na oba patogeny. Wszystkie badane w 2020 roku dawne odmiany oceniane były jako wrażliwe na populację P. triticina oraz B. graminis (typ reakcji ocenianej w skali 3-4 jako podatne).</w:t>
      </w:r>
    </w:p>
    <w:p w:rsidR="00195AD1" w:rsidRPr="00195AD1" w:rsidRDefault="00195AD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95AD1">
        <w:rPr>
          <w:rFonts w:ascii="Times New Roman" w:hAnsi="Times New Roman" w:cs="Times New Roman"/>
          <w:sz w:val="20"/>
          <w:szCs w:val="20"/>
        </w:rPr>
        <w:t>Przeprowadzone testy fenotypowe pozwoliły na wyodrębnienie 4 klasy genotypów: odporne, częściowo odporne, podatne oraz skrajnie podatne.</w:t>
      </w:r>
    </w:p>
    <w:p w:rsidR="008A0F96" w:rsidRPr="00EB5701" w:rsidRDefault="008A0F96" w:rsidP="00336405">
      <w:pPr>
        <w:pStyle w:val="Akapitzlist"/>
        <w:numPr>
          <w:ilvl w:val="1"/>
          <w:numId w:val="11"/>
        </w:numPr>
        <w:ind w:left="709" w:hanging="425"/>
        <w:jc w:val="both"/>
        <w:rPr>
          <w:rFonts w:ascii="Times New Roman" w:hAnsi="Times New Roman" w:cs="Times New Roman"/>
          <w:sz w:val="18"/>
          <w:szCs w:val="18"/>
        </w:rPr>
      </w:pPr>
      <w:r w:rsidRPr="001C52FE">
        <w:rPr>
          <w:rFonts w:ascii="Times New Roman" w:hAnsi="Times New Roman" w:cs="Times New Roman"/>
          <w:b/>
          <w:i/>
          <w:sz w:val="18"/>
          <w:szCs w:val="18"/>
          <w:lang w:val="pl-PL"/>
        </w:rPr>
        <w:t>Ocena linii w różnych warunkach środowiskowych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B5701">
        <w:rPr>
          <w:rFonts w:ascii="Times New Roman" w:hAnsi="Times New Roman" w:cs="Times New Roman"/>
          <w:b/>
          <w:sz w:val="18"/>
          <w:szCs w:val="18"/>
        </w:rPr>
        <w:t xml:space="preserve">Przebieg oraz wyniki doświadczenia w HR Strzelce 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Wykonawca usługi badawczej HR Strzelce przedstawił następujące sprawozdanie z otrzymanych wyników.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Jesienią 2019 roku wysiano 230 linii pszenicy ozimej pochodzących z różnych kombinacji krzyżówkowych, przekazanych nam przez stronę Zamawiającą. Dodatkowo wysiano oraz poddano ocenie również 268 genotypów, które zostały przekazane nam do oceny w sezonie ubiegłym, ponieważ w skutek niekorzystnych warunków atmosferycznych panujących w sezonie 2018/2019 obserwacje polowe nie zostały wykonane w pełni (silne wylegniecie całego doświadczenia tuż po wykłoszeniu). Dodatkowo suchy sezon ubiegły odznaczał się słabą presją chorób grzybowych, w związku z tym podjęto decyzję powtórnej oceny materiałów. Zwiększenie ilości genotypów, które zostały wysiane do oceny powtórnie wynika z tego, że w przypadku rzędów, które ulegały rozszczepieniu, oddzielnie zostały zebrane oraz wysiane formy kłosa o typie normalnym oraz ościstym.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Wszystkie genotypy wysiano w siewie rzędowym, na każde poletko o powierzchni 1m2  przypadały 3 rzędy (linii kłosowych). Dodatkowo pomiędzy ocenianymi liniami wysiano wybrane odmiany wzorcowe pochodzące z Krajowego Rejestru. 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W czasie wzrostu roślin na wysianych genotypach zostały wykonane zalecane zabiegi agrotechniczne (oprysk na chwasty, zwalczanie owadów w okresie wegetacji oraz pogłówne nawożenie azotowe). Całe doświadczenie prowadzone było w układzie A1, bez zastosowania fungicydów oraz </w:t>
      </w:r>
      <w:proofErr w:type="spellStart"/>
      <w:r w:rsidRPr="00EB5701">
        <w:rPr>
          <w:rFonts w:ascii="Times New Roman" w:hAnsi="Times New Roman" w:cs="Times New Roman"/>
          <w:sz w:val="20"/>
          <w:szCs w:val="20"/>
        </w:rPr>
        <w:t>antwylegaczy</w:t>
      </w:r>
      <w:proofErr w:type="spellEnd"/>
      <w:r w:rsidRPr="00EB5701">
        <w:rPr>
          <w:rFonts w:ascii="Times New Roman" w:hAnsi="Times New Roman" w:cs="Times New Roman"/>
          <w:sz w:val="20"/>
          <w:szCs w:val="20"/>
        </w:rPr>
        <w:t>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W trakcie wegetacji przeprowadzono następujące obserwacje: ocenę występowania mączniaka prawdziwego (</w:t>
      </w:r>
      <w:r w:rsidRPr="00EB5701">
        <w:rPr>
          <w:rFonts w:ascii="Times New Roman" w:hAnsi="Times New Roman" w:cs="Times New Roman"/>
          <w:i/>
          <w:sz w:val="20"/>
          <w:szCs w:val="20"/>
        </w:rPr>
        <w:t>Blumeria graminis</w:t>
      </w:r>
      <w:r w:rsidRPr="00EB5701">
        <w:rPr>
          <w:rFonts w:ascii="Times New Roman" w:hAnsi="Times New Roman" w:cs="Times New Roman"/>
          <w:sz w:val="20"/>
          <w:szCs w:val="20"/>
        </w:rPr>
        <w:t>) oraz septoriozy liści (</w:t>
      </w:r>
      <w:r w:rsidRPr="00EB5701">
        <w:rPr>
          <w:rFonts w:ascii="Times New Roman" w:hAnsi="Times New Roman" w:cs="Times New Roman"/>
          <w:i/>
          <w:sz w:val="20"/>
          <w:szCs w:val="20"/>
        </w:rPr>
        <w:t xml:space="preserve">Septaria </w:t>
      </w:r>
      <w:proofErr w:type="spellStart"/>
      <w:r w:rsidRPr="00EB5701">
        <w:rPr>
          <w:rFonts w:ascii="Times New Roman" w:hAnsi="Times New Roman" w:cs="Times New Roman"/>
          <w:i/>
          <w:sz w:val="20"/>
          <w:szCs w:val="20"/>
        </w:rPr>
        <w:t>nodurum</w:t>
      </w:r>
      <w:proofErr w:type="spellEnd"/>
      <w:r w:rsidRPr="00EB5701">
        <w:rPr>
          <w:rFonts w:ascii="Times New Roman" w:hAnsi="Times New Roman" w:cs="Times New Roman"/>
          <w:sz w:val="20"/>
          <w:szCs w:val="20"/>
        </w:rPr>
        <w:t>). Niestety na skutek braku presji porażenia naturalnego nie wykonano oceny infekcji przez rdzę brunatną. Oceny porażenia chorobami grzybowymi wykonano w skali 9-cio stopniowej, gdzie 1- oznacza całkowite porażenie do 9- brak objawów porażenia. Dla każdej linii wykonana została również ocena cech agronomicznych istotnych z punktu widzenia hodowli, mianowicie terminu kłoszenia oraz ocena stopnia wylegania. Wszystkie oceny wykonane został 26.06.2020 w momencie najsilniejszego porażenia chorobami. Większość obserwowanych linii charakteryzowała się wysokim stopniem odporności na mączniaka prawdziwego oraz słabszą odpornością na septoriozę.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Wszystkie materiały cechowały się wczesnym lub bardzo wczesnym terminem kłoszenia, część ocenianych linii odznaczała się dużą podatnością na wyleganie. 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Analizowane kombinacje krzyżówkowe odznaczały brakiem pełnego stopnia homozygotyczności, w obrębie jednego rządka występują formy ościste oraz formy o normalnym typie kłosa, jak również stwierdzono różnice w wysokościach roślin. 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701">
        <w:rPr>
          <w:rFonts w:ascii="Times New Roman" w:hAnsi="Times New Roman" w:cs="Times New Roman"/>
          <w:b/>
          <w:sz w:val="20"/>
          <w:szCs w:val="20"/>
        </w:rPr>
        <w:t>Przebieg doświadczenia w HR Smolice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Wykonawca usługi badawczej HR Smolice przedstawił następujące sprawozdanie z otrzymanych wyników.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Badania przeprowadzono na 227 poletkach obserwacyjnych z liniami pszenicy ozimej  przysłanymi  przez zleceniodawcę. Wszystkie badane materiały powschodziły i przezimowały bardzo dobrze. W okresie wegetacji dokonano obserwacji: daty kłoszenia, porażenia chorobami, wysokości i wylegania. Największe zróżnicowanie porażenia chorobami wystąpiło w przypadku porażenia mączniakiem. Rdze: żółta i brunatna nie wystąpiły. Zaobserwowano niewielkie porażenie obiektów  brunatną plamistością liści i septoriozą kłosa. Wiele ocenianych materiałów wyległo w silnym stopniu. 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Z materiałów badanych w sezonie 2018/19 do doświadczeniach zakładowych 2019/20 włączono 9 linii. Ze względu jednak na niskie plonowanie /44%-70%/, brunatną plamistość liści i wyleganie, żadna z tych 9-ciu linii nie została zakwalifikowana do dalszego etapu hodowli. Na podstawie przeprowadzonych obserwacji linii badanych w sezonie 2019/20 do dalszych ocen włączono 22. Jesienią 2020 r. otrzymaliśmy wytworzone w trakcie badań materiały z informacją, że decyzja o siewie należy do hodowcy, bowiem sezon 2019/20 był ostatnim sezonem badań w tym temacie. W HR Smolice otrzymane  materiały wysiano na 200 poletkach.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701">
        <w:rPr>
          <w:rFonts w:ascii="Times New Roman" w:hAnsi="Times New Roman" w:cs="Times New Roman"/>
          <w:b/>
          <w:sz w:val="20"/>
          <w:szCs w:val="20"/>
        </w:rPr>
        <w:t>Przebieg doświadczenia w IHAR-PIB Radzików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Na poletkach doświadczalnych w Radzikowie wysiano łącznie 744 linie. W odniesieniu do każdego obiektu przeprowadzono ocenę przezimowania. Materiał roślinny powschodził oraz przezimował w 100%. W okresie </w:t>
      </w:r>
      <w:r w:rsidRPr="00EB5701">
        <w:rPr>
          <w:rFonts w:ascii="Times New Roman" w:hAnsi="Times New Roman" w:cs="Times New Roman"/>
          <w:sz w:val="20"/>
          <w:szCs w:val="20"/>
        </w:rPr>
        <w:lastRenderedPageBreak/>
        <w:t xml:space="preserve">wegetacji roślin przeprowadzano obserwacje polowe w cotygodniowych odstępstwach czasu. </w:t>
      </w:r>
      <w:proofErr w:type="spellStart"/>
      <w:r w:rsidRPr="00EB5701">
        <w:rPr>
          <w:rFonts w:ascii="Times New Roman" w:hAnsi="Times New Roman" w:cs="Times New Roman"/>
          <w:sz w:val="20"/>
          <w:szCs w:val="20"/>
        </w:rPr>
        <w:t>Selecja</w:t>
      </w:r>
      <w:proofErr w:type="spellEnd"/>
      <w:r w:rsidRPr="00EB5701">
        <w:rPr>
          <w:rFonts w:ascii="Times New Roman" w:hAnsi="Times New Roman" w:cs="Times New Roman"/>
          <w:sz w:val="20"/>
          <w:szCs w:val="20"/>
        </w:rPr>
        <w:t xml:space="preserve"> materiału roślinnego przeprowadzana była w odniesieniu do odmian wzorcowych: Artist, </w:t>
      </w:r>
      <w:proofErr w:type="spellStart"/>
      <w:r w:rsidRPr="00EB5701">
        <w:rPr>
          <w:rFonts w:ascii="Times New Roman" w:hAnsi="Times New Roman" w:cs="Times New Roman"/>
          <w:sz w:val="20"/>
          <w:szCs w:val="20"/>
        </w:rPr>
        <w:t>Kilimandjaro</w:t>
      </w:r>
      <w:proofErr w:type="spellEnd"/>
      <w:r w:rsidRPr="00EB5701">
        <w:rPr>
          <w:rFonts w:ascii="Times New Roman" w:hAnsi="Times New Roman" w:cs="Times New Roman"/>
          <w:sz w:val="20"/>
          <w:szCs w:val="20"/>
        </w:rPr>
        <w:t xml:space="preserve">, Ozon oraz </w:t>
      </w:r>
      <w:proofErr w:type="spellStart"/>
      <w:r w:rsidRPr="00EB5701">
        <w:rPr>
          <w:rFonts w:ascii="Times New Roman" w:hAnsi="Times New Roman" w:cs="Times New Roman"/>
          <w:sz w:val="20"/>
          <w:szCs w:val="20"/>
        </w:rPr>
        <w:t>Patras</w:t>
      </w:r>
      <w:proofErr w:type="spellEnd"/>
      <w:r w:rsidRPr="00EB5701">
        <w:rPr>
          <w:rFonts w:ascii="Times New Roman" w:hAnsi="Times New Roman" w:cs="Times New Roman"/>
          <w:sz w:val="20"/>
          <w:szCs w:val="20"/>
        </w:rPr>
        <w:t>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>Kłoszenie materiału roślinnego w Radzikowie (fazy BBCH 51-59), określono jako typ bardzo wczesny oraz wczesny. Początek fazy kłoszenia został zaobserwowany w 115 dniu rozwoju rośliny.</w:t>
      </w:r>
    </w:p>
    <w:p w:rsidR="00EB5701" w:rsidRPr="00EB5701" w:rsidRDefault="00EB570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Ocenę materiału roślinnego na poletkach doświadczalnych w Radzikowie pod kątem porażania chorobami dokonano w odniesieniu do 9-cio stopniowej skali, gdzie: 1- oznacza całkowite porażenie, do 9- brak objawów porażenia. Podobnie jak w latach ubiegłych, gorąca i sucha pogoda w okresie wegetacji roślin, przyczyniły się do trudności w ocenie materiału roślinnego pod kątem porażenia przez </w:t>
      </w:r>
      <w:r w:rsidRPr="00EB5701">
        <w:rPr>
          <w:rFonts w:ascii="Times New Roman" w:hAnsi="Times New Roman" w:cs="Times New Roman"/>
          <w:i/>
          <w:sz w:val="20"/>
          <w:szCs w:val="20"/>
        </w:rPr>
        <w:t>Blumeria graminis</w:t>
      </w:r>
      <w:r w:rsidRPr="00EB5701">
        <w:rPr>
          <w:rFonts w:ascii="Times New Roman" w:hAnsi="Times New Roman" w:cs="Times New Roman"/>
          <w:sz w:val="20"/>
          <w:szCs w:val="20"/>
        </w:rPr>
        <w:t xml:space="preserve"> (Mączniak </w:t>
      </w:r>
      <w:r w:rsidRPr="00EB5701">
        <w:rPr>
          <w:rFonts w:ascii="Times New Roman" w:hAnsi="Times New Roman" w:cs="Times New Roman"/>
          <w:sz w:val="20"/>
          <w:szCs w:val="20"/>
        </w:rPr>
        <w:t>prawdziwy</w:t>
      </w:r>
      <w:r w:rsidRPr="00EB5701">
        <w:rPr>
          <w:rFonts w:ascii="Times New Roman" w:hAnsi="Times New Roman" w:cs="Times New Roman"/>
          <w:sz w:val="20"/>
          <w:szCs w:val="20"/>
        </w:rPr>
        <w:t xml:space="preserve"> zbóż i traw). Porażenie materiału roślinnego przez B. graminis w Radzikowie miał miejsce w minimalnym stopniu na siewkach w okresie jesienno-zimowym. </w:t>
      </w:r>
      <w:r w:rsidRPr="00EB5701">
        <w:rPr>
          <w:rFonts w:ascii="Times New Roman" w:hAnsi="Times New Roman" w:cs="Times New Roman"/>
          <w:sz w:val="20"/>
          <w:szCs w:val="20"/>
        </w:rPr>
        <w:t>Natomiast</w:t>
      </w:r>
      <w:r w:rsidRPr="00EB5701">
        <w:rPr>
          <w:rFonts w:ascii="Times New Roman" w:hAnsi="Times New Roman" w:cs="Times New Roman"/>
          <w:sz w:val="20"/>
          <w:szCs w:val="20"/>
        </w:rPr>
        <w:t xml:space="preserve"> w okresie letnim mączniak prawdziwy zbóż i traw </w:t>
      </w:r>
      <w:r w:rsidRPr="00EB5701">
        <w:rPr>
          <w:rFonts w:ascii="Times New Roman" w:hAnsi="Times New Roman" w:cs="Times New Roman"/>
          <w:sz w:val="20"/>
          <w:szCs w:val="20"/>
        </w:rPr>
        <w:t>wystąpił</w:t>
      </w:r>
      <w:r w:rsidRPr="00EB5701">
        <w:rPr>
          <w:rFonts w:ascii="Times New Roman" w:hAnsi="Times New Roman" w:cs="Times New Roman"/>
          <w:sz w:val="20"/>
          <w:szCs w:val="20"/>
        </w:rPr>
        <w:t xml:space="preserve"> w niewielkim nasileniu, a sucha i gorąca pogoda uniemożliwiły mu dalszy rozwój choroby, powodując </w:t>
      </w:r>
      <w:r w:rsidRPr="00EB5701">
        <w:rPr>
          <w:rFonts w:ascii="Times New Roman" w:hAnsi="Times New Roman" w:cs="Times New Roman"/>
          <w:sz w:val="20"/>
          <w:szCs w:val="20"/>
        </w:rPr>
        <w:t>tym</w:t>
      </w:r>
      <w:r w:rsidRPr="00EB5701">
        <w:rPr>
          <w:rFonts w:ascii="Times New Roman" w:hAnsi="Times New Roman" w:cs="Times New Roman"/>
          <w:sz w:val="20"/>
          <w:szCs w:val="20"/>
        </w:rPr>
        <w:t xml:space="preserve"> samym wysychanie dolnych części liści. Większość ocenianych linii pod kątem odporności na </w:t>
      </w:r>
      <w:r w:rsidRPr="00EB5701">
        <w:rPr>
          <w:rFonts w:ascii="Times New Roman" w:hAnsi="Times New Roman" w:cs="Times New Roman"/>
          <w:i/>
          <w:sz w:val="20"/>
          <w:szCs w:val="20"/>
        </w:rPr>
        <w:t>B. graminis</w:t>
      </w:r>
      <w:r w:rsidRPr="00EB5701">
        <w:rPr>
          <w:rFonts w:ascii="Times New Roman" w:hAnsi="Times New Roman" w:cs="Times New Roman"/>
          <w:sz w:val="20"/>
          <w:szCs w:val="20"/>
        </w:rPr>
        <w:t xml:space="preserve"> oceniana była w skali od 7 do 9. Odnotowano występowanie rdzy brunatnej, żółtej (w dużym nasileniu) oraz septoriozy liści. Na podstawie obserwacji polowych wytypowano rośliny o odporności na choroby ocenianej wg, skali od 8 do 9 dla rdzy brunatnej oraz mączniaka prawdziwego, rdza żółta oceniana od 7 do 9, septorioza liści od 7 do 9. Reszta materiału roślinnego została wyeliminowana z dalszych etapów badań. Na podstawie przeprowadzonych obserwacji polowych wyselekcjonowano do dalszych obserwacji polowych materiał roślinny, który został przekazany </w:t>
      </w:r>
      <w:r w:rsidRPr="00EB5701">
        <w:rPr>
          <w:rFonts w:ascii="Times New Roman" w:hAnsi="Times New Roman" w:cs="Times New Roman"/>
          <w:sz w:val="20"/>
          <w:szCs w:val="20"/>
        </w:rPr>
        <w:t>jesienią</w:t>
      </w:r>
      <w:r w:rsidRPr="00EB5701">
        <w:rPr>
          <w:rFonts w:ascii="Times New Roman" w:hAnsi="Times New Roman" w:cs="Times New Roman"/>
          <w:sz w:val="20"/>
          <w:szCs w:val="20"/>
        </w:rPr>
        <w:t xml:space="preserve"> br. do HR Strzelce oraz HR Smolice.</w:t>
      </w:r>
    </w:p>
    <w:p w:rsidR="00413F18" w:rsidRPr="00EB5701" w:rsidRDefault="00413F18" w:rsidP="007A7C1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EB5701">
        <w:rPr>
          <w:rFonts w:ascii="Times New Roman" w:eastAsia="Times New Roman" w:hAnsi="Times New Roman" w:cs="Times New Roman"/>
          <w:b/>
          <w:sz w:val="20"/>
          <w:szCs w:val="20"/>
        </w:rPr>
        <w:t>Najważniejsze osiągnięcia naukowe i praktyczne (zwięzły opis)</w:t>
      </w:r>
    </w:p>
    <w:p w:rsidR="0014017B" w:rsidRPr="00EB5701" w:rsidRDefault="0014017B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B5701">
        <w:rPr>
          <w:rFonts w:ascii="Times New Roman" w:hAnsi="Times New Roman" w:cs="Times New Roman"/>
          <w:sz w:val="20"/>
          <w:szCs w:val="20"/>
          <w:lang w:val="pl-PL"/>
        </w:rPr>
        <w:t xml:space="preserve">Do najważniejszych osiągnieć </w:t>
      </w:r>
      <w:r w:rsidR="00EA6211" w:rsidRPr="00EB5701">
        <w:rPr>
          <w:rFonts w:ascii="Times New Roman" w:hAnsi="Times New Roman" w:cs="Times New Roman"/>
          <w:sz w:val="20"/>
          <w:szCs w:val="20"/>
          <w:lang w:val="pl-PL"/>
        </w:rPr>
        <w:t xml:space="preserve">naukowych należy wymienić określenie markerów flankujących gen </w:t>
      </w:r>
      <w:r w:rsidR="00EA6211" w:rsidRPr="00EB5701">
        <w:rPr>
          <w:rFonts w:ascii="Times New Roman" w:hAnsi="Times New Roman" w:cs="Times New Roman"/>
          <w:i/>
          <w:sz w:val="20"/>
          <w:szCs w:val="20"/>
          <w:lang w:val="pl-PL"/>
        </w:rPr>
        <w:t>Lr55</w:t>
      </w:r>
      <w:r w:rsidR="00EA6211" w:rsidRPr="00EB5701">
        <w:rPr>
          <w:rFonts w:ascii="Times New Roman" w:hAnsi="Times New Roman" w:cs="Times New Roman"/>
          <w:sz w:val="20"/>
          <w:szCs w:val="20"/>
          <w:lang w:val="pl-PL"/>
        </w:rPr>
        <w:t>, ponieważ brak jest aktualnie doniesień naukowych na ten temat. Tym bardziej, że gen odporności na rdzę brunatną zbóż i traw jest genem aktualnie efektywnym.</w:t>
      </w:r>
    </w:p>
    <w:p w:rsidR="007A7C1F" w:rsidRPr="00EB5701" w:rsidRDefault="00EA6211" w:rsidP="00EB5701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B5701">
        <w:rPr>
          <w:rFonts w:ascii="Times New Roman" w:hAnsi="Times New Roman" w:cs="Times New Roman"/>
          <w:sz w:val="20"/>
          <w:szCs w:val="20"/>
          <w:lang w:val="pl-PL"/>
        </w:rPr>
        <w:t xml:space="preserve">Znaczenie prowadzonych prac jest szczególnie istotne dla hodowli odpornościowej polskich odmian zbóż. Piramidowanie genów jest zabiegiem długotrwałym i trudnym ale daje możliwość uzyskania odmian o trwałej odporności na ważne patogeny grzybowe zbóż. </w:t>
      </w:r>
    </w:p>
    <w:p w:rsidR="00413F18" w:rsidRPr="00EB5701" w:rsidRDefault="00413F18" w:rsidP="007A7C1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EB5701">
        <w:rPr>
          <w:rFonts w:ascii="Times New Roman" w:eastAsia="Times New Roman" w:hAnsi="Times New Roman" w:cs="Times New Roman"/>
          <w:b/>
          <w:sz w:val="20"/>
          <w:szCs w:val="20"/>
        </w:rPr>
        <w:t>Wykorzystanie uzyskanych wyników</w:t>
      </w:r>
    </w:p>
    <w:p w:rsidR="007A7C1F" w:rsidRPr="00EB5701" w:rsidRDefault="00EA6211" w:rsidP="00EB570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eastAsia="Times New Roman" w:hAnsi="Times New Roman" w:cs="Times New Roman"/>
          <w:sz w:val="20"/>
          <w:szCs w:val="20"/>
        </w:rPr>
        <w:t>Uzyskane wyniki są obecnie w trakcie publikacji oraz rozpowszechniane u hodowców.</w:t>
      </w:r>
    </w:p>
    <w:p w:rsidR="0014017B" w:rsidRPr="00EB5701" w:rsidRDefault="00413F18" w:rsidP="007A7C1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b/>
          <w:sz w:val="20"/>
          <w:szCs w:val="20"/>
        </w:rPr>
        <w:t>Krótka informacja o wynikach współpracy naukowo-technicznej krajowej i z zagranicą (przy współpracy z zagranicą podać kraj, fir</w:t>
      </w:r>
      <w:bookmarkStart w:id="0" w:name="_GoBack"/>
      <w:bookmarkEnd w:id="0"/>
      <w:r w:rsidRPr="00EB5701">
        <w:rPr>
          <w:rFonts w:ascii="Times New Roman" w:hAnsi="Times New Roman" w:cs="Times New Roman"/>
          <w:b/>
          <w:sz w:val="20"/>
          <w:szCs w:val="20"/>
        </w:rPr>
        <w:t>mę, temat).</w:t>
      </w:r>
    </w:p>
    <w:p w:rsidR="007A7C1F" w:rsidRPr="00EB5701" w:rsidRDefault="007A7C1F" w:rsidP="00EB570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B5701">
        <w:rPr>
          <w:rFonts w:ascii="Times New Roman" w:hAnsi="Times New Roman" w:cs="Times New Roman"/>
          <w:sz w:val="20"/>
          <w:szCs w:val="20"/>
        </w:rPr>
        <w:t xml:space="preserve">W ramach realizacji tematu została rozpoczęta współpraca z dwoma spółkami IHAR-PIB: HR Strzelce oraz HR Smolice oraz z Politechniką Rzeszowską. </w:t>
      </w:r>
    </w:p>
    <w:p w:rsidR="007A7C1F" w:rsidRPr="00EB5701" w:rsidRDefault="00413F18" w:rsidP="007A7C1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B5701">
        <w:rPr>
          <w:rFonts w:ascii="Times New Roman" w:eastAsia="Times New Roman" w:hAnsi="Times New Roman" w:cs="Times New Roman"/>
          <w:b/>
          <w:sz w:val="20"/>
          <w:szCs w:val="20"/>
        </w:rPr>
        <w:t>Wykaz prac opublikowanych w roku sprawozdawczym</w:t>
      </w:r>
    </w:p>
    <w:p w:rsidR="00413F18" w:rsidRPr="004554C7" w:rsidRDefault="00EB5701" w:rsidP="004554C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54C7">
        <w:rPr>
          <w:rFonts w:ascii="Times New Roman" w:hAnsi="Times New Roman" w:cs="Times New Roman"/>
          <w:b/>
          <w:sz w:val="20"/>
          <w:szCs w:val="20"/>
          <w:lang w:val="en-US"/>
        </w:rPr>
        <w:t>Pietrusińska, A</w:t>
      </w:r>
      <w:r w:rsidRPr="004554C7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4554C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4554C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554C7">
        <w:rPr>
          <w:rFonts w:ascii="Times New Roman" w:hAnsi="Times New Roman" w:cs="Times New Roman"/>
          <w:sz w:val="20"/>
          <w:szCs w:val="20"/>
          <w:lang w:val="en-US"/>
        </w:rPr>
        <w:t>Tratwal</w:t>
      </w:r>
      <w:proofErr w:type="spellEnd"/>
      <w:r w:rsidRPr="004554C7">
        <w:rPr>
          <w:rFonts w:ascii="Times New Roman" w:hAnsi="Times New Roman" w:cs="Times New Roman"/>
          <w:sz w:val="20"/>
          <w:szCs w:val="20"/>
          <w:lang w:val="en-US"/>
        </w:rPr>
        <w:t xml:space="preserve">. 2020. Characteristics of powdery mildew and its importance for wheat grown in Poland. </w:t>
      </w:r>
      <w:r w:rsidRPr="004554C7">
        <w:rPr>
          <w:rFonts w:ascii="Times New Roman" w:hAnsi="Times New Roman" w:cs="Times New Roman"/>
          <w:sz w:val="20"/>
          <w:szCs w:val="20"/>
        </w:rPr>
        <w:t xml:space="preserve">Plant </w:t>
      </w:r>
      <w:proofErr w:type="spellStart"/>
      <w:r w:rsidRPr="004554C7">
        <w:rPr>
          <w:rFonts w:ascii="Times New Roman" w:hAnsi="Times New Roman" w:cs="Times New Roman"/>
          <w:sz w:val="20"/>
          <w:szCs w:val="20"/>
        </w:rPr>
        <w:t>Protection</w:t>
      </w:r>
      <w:proofErr w:type="spellEnd"/>
      <w:r w:rsidRPr="004554C7">
        <w:rPr>
          <w:rFonts w:ascii="Times New Roman" w:hAnsi="Times New Roman" w:cs="Times New Roman"/>
          <w:sz w:val="20"/>
          <w:szCs w:val="20"/>
        </w:rPr>
        <w:t xml:space="preserve"> Science 56 str. 141-153.</w:t>
      </w:r>
    </w:p>
    <w:p w:rsidR="004554C7" w:rsidRPr="004554C7" w:rsidRDefault="004554C7" w:rsidP="004554C7">
      <w:pPr>
        <w:pStyle w:val="Akapitzlist"/>
        <w:numPr>
          <w:ilvl w:val="0"/>
          <w:numId w:val="14"/>
        </w:numPr>
        <w:spacing w:before="240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val="en-US"/>
        </w:rPr>
      </w:pPr>
      <w:r w:rsidRPr="004554C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US"/>
        </w:rPr>
        <w:t xml:space="preserve">Pietrusińska A., </w:t>
      </w:r>
      <w:r w:rsidRPr="004554C7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t>Tyrka M</w:t>
      </w: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US"/>
        </w:rPr>
        <w:t xml:space="preserve">. </w:t>
      </w:r>
      <w:r w:rsidRPr="004554C7">
        <w:rPr>
          <w:rFonts w:ascii="Times New Roman" w:eastAsia="Times New Roman" w:hAnsi="Times New Roman" w:cs="Times New Roman"/>
          <w:bCs/>
          <w:noProof/>
          <w:sz w:val="20"/>
          <w:szCs w:val="20"/>
          <w:lang w:val="en-US"/>
        </w:rPr>
        <w:t>2021</w:t>
      </w:r>
      <w:r w:rsidRPr="004554C7">
        <w:rPr>
          <w:rFonts w:ascii="Times New Roman" w:eastAsia="Times New Roman" w:hAnsi="Times New Roman" w:cs="Times New Roman"/>
          <w:bCs/>
          <w:noProof/>
          <w:sz w:val="20"/>
          <w:szCs w:val="20"/>
          <w:lang w:val="en-US"/>
        </w:rPr>
        <w:t>.</w:t>
      </w:r>
      <w:r w:rsidRPr="004554C7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US"/>
        </w:rPr>
        <w:t xml:space="preserve"> </w:t>
      </w:r>
      <w:r w:rsidRPr="004554C7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t xml:space="preserve">Linkage of </w:t>
      </w:r>
      <w:r w:rsidRPr="004554C7">
        <w:rPr>
          <w:rFonts w:ascii="Times New Roman" w:eastAsia="Times New Roman" w:hAnsi="Times New Roman" w:cs="Times New Roman"/>
          <w:i/>
          <w:iCs/>
          <w:noProof/>
          <w:sz w:val="20"/>
          <w:szCs w:val="20"/>
          <w:lang w:val="en-US"/>
        </w:rPr>
        <w:t>Lr55</w:t>
      </w:r>
      <w:r w:rsidRPr="004554C7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t xml:space="preserve"> wheat leaf rust resistance gene with microsatellite and DArT-based markers. Physiological and Molecular Plant Pathology </w:t>
      </w:r>
      <w:r w:rsidRPr="004554C7">
        <w:rPr>
          <w:rFonts w:ascii="Times New Roman" w:eastAsia="Times New Roman" w:hAnsi="Times New Roman" w:cs="Times New Roman"/>
          <w:bCs/>
          <w:noProof/>
          <w:sz w:val="20"/>
          <w:szCs w:val="20"/>
          <w:lang w:val="en-US"/>
        </w:rPr>
        <w:t>(w trakcie publikacji</w:t>
      </w:r>
      <w:r w:rsidRPr="004554C7">
        <w:rPr>
          <w:rFonts w:ascii="Times New Roman" w:eastAsia="Times New Roman" w:hAnsi="Times New Roman" w:cs="Times New Roman"/>
          <w:bCs/>
          <w:noProof/>
          <w:sz w:val="20"/>
          <w:szCs w:val="20"/>
          <w:lang w:val="en-US"/>
        </w:rPr>
        <w:t>).</w:t>
      </w:r>
    </w:p>
    <w:p w:rsidR="00F216CB" w:rsidRPr="004554C7" w:rsidRDefault="00F216CB" w:rsidP="00D3480A">
      <w:pPr>
        <w:pStyle w:val="Teksttreci0"/>
        <w:shd w:val="clear" w:color="auto" w:fill="auto"/>
        <w:spacing w:before="0" w:line="276" w:lineRule="auto"/>
        <w:ind w:right="460" w:firstLine="0"/>
        <w:rPr>
          <w:rFonts w:ascii="Times New Roman" w:hAnsi="Times New Roman" w:cs="Times New Roman"/>
          <w:color w:val="FF0000"/>
          <w:sz w:val="18"/>
          <w:szCs w:val="18"/>
          <w:lang w:val="en-US"/>
        </w:rPr>
      </w:pPr>
    </w:p>
    <w:sectPr w:rsidR="00F216CB" w:rsidRPr="004554C7" w:rsidSect="00313D12">
      <w:type w:val="continuous"/>
      <w:pgSz w:w="11905" w:h="16837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BC" w:rsidRDefault="008E69BC">
      <w:r>
        <w:separator/>
      </w:r>
    </w:p>
  </w:endnote>
  <w:endnote w:type="continuationSeparator" w:id="0">
    <w:p w:rsidR="008E69BC" w:rsidRDefault="008E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BC" w:rsidRDefault="008E69BC"/>
  </w:footnote>
  <w:footnote w:type="continuationSeparator" w:id="0">
    <w:p w:rsidR="008E69BC" w:rsidRDefault="008E69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0BA9"/>
    <w:multiLevelType w:val="multilevel"/>
    <w:tmpl w:val="2708D7EA"/>
    <w:numStyleLink w:val="Styl1"/>
  </w:abstractNum>
  <w:abstractNum w:abstractNumId="1">
    <w:nsid w:val="0B265EF4"/>
    <w:multiLevelType w:val="multilevel"/>
    <w:tmpl w:val="2708D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  <w:b/>
      </w:rPr>
    </w:lvl>
  </w:abstractNum>
  <w:abstractNum w:abstractNumId="2">
    <w:nsid w:val="14E95E5F"/>
    <w:multiLevelType w:val="multilevel"/>
    <w:tmpl w:val="A5DEA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2D7BE4"/>
    <w:multiLevelType w:val="hybridMultilevel"/>
    <w:tmpl w:val="CFF0D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B2CB6"/>
    <w:multiLevelType w:val="multilevel"/>
    <w:tmpl w:val="151876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5">
    <w:nsid w:val="39DE4288"/>
    <w:multiLevelType w:val="multilevel"/>
    <w:tmpl w:val="597C4B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6">
    <w:nsid w:val="3BA84D4A"/>
    <w:multiLevelType w:val="hybridMultilevel"/>
    <w:tmpl w:val="A170F8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3B10E70"/>
    <w:multiLevelType w:val="hybridMultilevel"/>
    <w:tmpl w:val="2E2E0B7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7170BCB"/>
    <w:multiLevelType w:val="multilevel"/>
    <w:tmpl w:val="597C4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>
    <w:nsid w:val="47780D4D"/>
    <w:multiLevelType w:val="hybridMultilevel"/>
    <w:tmpl w:val="3E7217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41D8D"/>
    <w:multiLevelType w:val="hybridMultilevel"/>
    <w:tmpl w:val="0CBE1A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5D24FF"/>
    <w:multiLevelType w:val="multilevel"/>
    <w:tmpl w:val="2708D7EA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  <w:b/>
      </w:rPr>
    </w:lvl>
  </w:abstractNum>
  <w:abstractNum w:abstractNumId="12">
    <w:nsid w:val="674176F9"/>
    <w:multiLevelType w:val="hybridMultilevel"/>
    <w:tmpl w:val="0352C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B5F76"/>
    <w:multiLevelType w:val="multilevel"/>
    <w:tmpl w:val="5D68CA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  <w:b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13"/>
  </w:num>
  <w:num w:numId="9">
    <w:abstractNumId w:val="8"/>
  </w:num>
  <w:num w:numId="10">
    <w:abstractNumId w:val="11"/>
  </w:num>
  <w:num w:numId="11">
    <w:abstractNumId w:val="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2"/>
        <w:numFmt w:val="decimal"/>
        <w:lvlText w:val="%1.%2."/>
        <w:lvlJc w:val="left"/>
        <w:pPr>
          <w:ind w:left="1004" w:hanging="360"/>
        </w:pPr>
        <w:rPr>
          <w:rFonts w:hint="default"/>
          <w:b/>
        </w:rPr>
      </w:lvl>
    </w:lvlOverride>
  </w:num>
  <w:num w:numId="12">
    <w:abstractNumId w:val="7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CB"/>
    <w:rsid w:val="000F5C13"/>
    <w:rsid w:val="0014017B"/>
    <w:rsid w:val="00171BBC"/>
    <w:rsid w:val="00195AD1"/>
    <w:rsid w:val="001C52FE"/>
    <w:rsid w:val="001E0FF6"/>
    <w:rsid w:val="001F0ED5"/>
    <w:rsid w:val="00313D12"/>
    <w:rsid w:val="00336405"/>
    <w:rsid w:val="00340D68"/>
    <w:rsid w:val="003647D2"/>
    <w:rsid w:val="00413F18"/>
    <w:rsid w:val="0045070D"/>
    <w:rsid w:val="004554C7"/>
    <w:rsid w:val="004E568E"/>
    <w:rsid w:val="00507530"/>
    <w:rsid w:val="005E43DE"/>
    <w:rsid w:val="006169BB"/>
    <w:rsid w:val="007764E2"/>
    <w:rsid w:val="0078424D"/>
    <w:rsid w:val="007A5F6B"/>
    <w:rsid w:val="007A7C1F"/>
    <w:rsid w:val="008A0F96"/>
    <w:rsid w:val="008E69BC"/>
    <w:rsid w:val="00922C38"/>
    <w:rsid w:val="009E12C2"/>
    <w:rsid w:val="00A14219"/>
    <w:rsid w:val="00B37F4D"/>
    <w:rsid w:val="00B956A8"/>
    <w:rsid w:val="00C77CC2"/>
    <w:rsid w:val="00D3480A"/>
    <w:rsid w:val="00E602EF"/>
    <w:rsid w:val="00EA6211"/>
    <w:rsid w:val="00EB5701"/>
    <w:rsid w:val="00EC2040"/>
    <w:rsid w:val="00F216CB"/>
    <w:rsid w:val="00F8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1">
    <w:name w:val="Tekst treści (3)"/>
    <w:basedOn w:val="Teksttreci3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2">
    <w:name w:val="Tekst treści (3)"/>
    <w:basedOn w:val="Teksttreci3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4ptBezpogrubieniaKursywa">
    <w:name w:val="Tekst treści (3) + 4 pt;Bez pogrubienia;Kursywa"/>
    <w:basedOn w:val="Teksttreci3"/>
    <w:rPr>
      <w:b/>
      <w:bCs/>
      <w:i/>
      <w:iCs/>
      <w:smallCaps w:val="0"/>
      <w:strike w:val="0"/>
      <w:spacing w:val="0"/>
      <w:sz w:val="8"/>
      <w:szCs w:val="8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1">
    <w:name w:val="Tekst treści (2)"/>
    <w:basedOn w:val="Teksttreci2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41">
    <w:name w:val="Tekst treści (4)"/>
    <w:basedOn w:val="Teksttreci4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1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1">
    <w:name w:val="Nagłówek #1_"/>
    <w:basedOn w:val="Domylnaczcionkaakapitu"/>
    <w:link w:val="Nagwek1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Nagwek11">
    <w:name w:val="Nagłówek #1"/>
    <w:basedOn w:val="Nagwek1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Pr>
      <w:b w:val="0"/>
      <w:bCs w:val="0"/>
      <w:i w:val="0"/>
      <w:iCs w:val="0"/>
      <w:smallCaps w:val="0"/>
      <w:strike w:val="0"/>
      <w:sz w:val="49"/>
      <w:szCs w:val="49"/>
    </w:rPr>
  </w:style>
  <w:style w:type="character" w:customStyle="1" w:styleId="Teksttreci61">
    <w:name w:val="Tekst treści (6)"/>
    <w:basedOn w:val="Teksttreci6"/>
    <w:rPr>
      <w:b w:val="0"/>
      <w:bCs w:val="0"/>
      <w:i w:val="0"/>
      <w:iCs w:val="0"/>
      <w:smallCaps w:val="0"/>
      <w:strike w:val="0"/>
      <w:sz w:val="49"/>
      <w:szCs w:val="49"/>
    </w:rPr>
  </w:style>
  <w:style w:type="character" w:customStyle="1" w:styleId="Teksttreci7">
    <w:name w:val="Tekst treści (7)_"/>
    <w:basedOn w:val="Domylnaczcionkaakapitu"/>
    <w:link w:val="Teksttreci70"/>
    <w:rPr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Teksttreci71">
    <w:name w:val="Tekst treści (7)"/>
    <w:basedOn w:val="Teksttreci7"/>
    <w:rPr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Nagwek12">
    <w:name w:val="Nagłówek #1"/>
    <w:basedOn w:val="Nagwek1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8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9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b/>
      <w:bCs/>
      <w:sz w:val="15"/>
      <w:szCs w:val="15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line="216" w:lineRule="exact"/>
      <w:ind w:hanging="2160"/>
    </w:pPr>
    <w:rPr>
      <w:sz w:val="13"/>
      <w:szCs w:val="1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ind w:hanging="920"/>
      <w:outlineLvl w:val="0"/>
    </w:pPr>
    <w:rPr>
      <w:sz w:val="16"/>
      <w:szCs w:val="1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i/>
      <w:iCs/>
      <w:sz w:val="49"/>
      <w:szCs w:val="4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0" w:lineRule="atLeast"/>
    </w:pPr>
    <w:rPr>
      <w:sz w:val="39"/>
      <w:szCs w:val="3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D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D12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D3480A"/>
    <w:pPr>
      <w:ind w:left="720"/>
      <w:contextualSpacing/>
    </w:pPr>
  </w:style>
  <w:style w:type="numbering" w:customStyle="1" w:styleId="Styl1">
    <w:name w:val="Styl1"/>
    <w:uiPriority w:val="99"/>
    <w:rsid w:val="00336405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1">
    <w:name w:val="Tekst treści (3)"/>
    <w:basedOn w:val="Teksttreci3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2">
    <w:name w:val="Tekst treści (3)"/>
    <w:basedOn w:val="Teksttreci3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4ptBezpogrubieniaKursywa">
    <w:name w:val="Tekst treści (3) + 4 pt;Bez pogrubienia;Kursywa"/>
    <w:basedOn w:val="Teksttreci3"/>
    <w:rPr>
      <w:b/>
      <w:bCs/>
      <w:i/>
      <w:iCs/>
      <w:smallCaps w:val="0"/>
      <w:strike w:val="0"/>
      <w:spacing w:val="0"/>
      <w:sz w:val="8"/>
      <w:szCs w:val="8"/>
    </w:rPr>
  </w:style>
  <w:style w:type="character" w:customStyle="1" w:styleId="Teksttreci2">
    <w:name w:val="Tekst treści (2)_"/>
    <w:basedOn w:val="Domylnaczcionkaakapitu"/>
    <w:link w:val="Teksttreci20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1">
    <w:name w:val="Tekst treści (2)"/>
    <w:basedOn w:val="Teksttreci2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4">
    <w:name w:val="Tekst treści (4)_"/>
    <w:basedOn w:val="Domylnaczcionkaakapitu"/>
    <w:link w:val="Teksttreci4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41">
    <w:name w:val="Tekst treści (4)"/>
    <w:basedOn w:val="Teksttreci4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1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1">
    <w:name w:val="Nagłówek #1_"/>
    <w:basedOn w:val="Domylnaczcionkaakapitu"/>
    <w:link w:val="Nagwek1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Nagwek11">
    <w:name w:val="Nagłówek #1"/>
    <w:basedOn w:val="Nagwek1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Pr>
      <w:b w:val="0"/>
      <w:bCs w:val="0"/>
      <w:i w:val="0"/>
      <w:iCs w:val="0"/>
      <w:smallCaps w:val="0"/>
      <w:strike w:val="0"/>
      <w:sz w:val="49"/>
      <w:szCs w:val="49"/>
    </w:rPr>
  </w:style>
  <w:style w:type="character" w:customStyle="1" w:styleId="Teksttreci61">
    <w:name w:val="Tekst treści (6)"/>
    <w:basedOn w:val="Teksttreci6"/>
    <w:rPr>
      <w:b w:val="0"/>
      <w:bCs w:val="0"/>
      <w:i w:val="0"/>
      <w:iCs w:val="0"/>
      <w:smallCaps w:val="0"/>
      <w:strike w:val="0"/>
      <w:sz w:val="49"/>
      <w:szCs w:val="49"/>
    </w:rPr>
  </w:style>
  <w:style w:type="character" w:customStyle="1" w:styleId="Teksttreci7">
    <w:name w:val="Tekst treści (7)_"/>
    <w:basedOn w:val="Domylnaczcionkaakapitu"/>
    <w:link w:val="Teksttreci70"/>
    <w:rPr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Teksttreci71">
    <w:name w:val="Tekst treści (7)"/>
    <w:basedOn w:val="Teksttreci7"/>
    <w:rPr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Nagwek12">
    <w:name w:val="Nagłówek #1"/>
    <w:basedOn w:val="Nagwek1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8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9">
    <w:name w:val="Tekst treści"/>
    <w:basedOn w:val="Teksttreci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</w:pPr>
    <w:rPr>
      <w:b/>
      <w:bCs/>
      <w:sz w:val="15"/>
      <w:szCs w:val="15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line="216" w:lineRule="exact"/>
      <w:ind w:hanging="2160"/>
    </w:pPr>
    <w:rPr>
      <w:sz w:val="13"/>
      <w:szCs w:val="13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ind w:hanging="920"/>
      <w:outlineLvl w:val="0"/>
    </w:pPr>
    <w:rPr>
      <w:sz w:val="16"/>
      <w:szCs w:val="1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i/>
      <w:iCs/>
      <w:sz w:val="49"/>
      <w:szCs w:val="4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0" w:lineRule="atLeast"/>
    </w:pPr>
    <w:rPr>
      <w:sz w:val="39"/>
      <w:szCs w:val="3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D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D12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D3480A"/>
    <w:pPr>
      <w:ind w:left="720"/>
      <w:contextualSpacing/>
    </w:pPr>
  </w:style>
  <w:style w:type="numbering" w:customStyle="1" w:styleId="Styl1">
    <w:name w:val="Styl1"/>
    <w:uiPriority w:val="99"/>
    <w:rsid w:val="00336405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25FC-61A3-4568-8234-02F76B8D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1862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Aleksandra Pietrusińska</cp:lastModifiedBy>
  <cp:revision>2</cp:revision>
  <cp:lastPrinted>2020-01-13T13:26:00Z</cp:lastPrinted>
  <dcterms:created xsi:type="dcterms:W3CDTF">2021-02-23T10:47:00Z</dcterms:created>
  <dcterms:modified xsi:type="dcterms:W3CDTF">2021-02-23T10:47:00Z</dcterms:modified>
</cp:coreProperties>
</file>