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BB8F1" w14:textId="3B89017E" w:rsidR="00254DC4" w:rsidRDefault="00254DC4" w:rsidP="00A64B5F">
      <w:pPr>
        <w:spacing w:after="0" w:line="240" w:lineRule="auto"/>
        <w:ind w:right="-284"/>
        <w:jc w:val="both"/>
      </w:pPr>
      <w:r w:rsidRPr="00A64B5F">
        <w:rPr>
          <w:sz w:val="24"/>
          <w:szCs w:val="24"/>
        </w:rPr>
        <w:t>4-1-03-4-01</w:t>
      </w:r>
      <w:r w:rsidRPr="00A64B5F">
        <w:rPr>
          <w:sz w:val="24"/>
          <w:szCs w:val="24"/>
        </w:rPr>
        <w:tab/>
      </w:r>
      <w:r>
        <w:t xml:space="preserve">„Opracowanie i wykorzystanie metod biotechnologicznych do skrócenia cyklu hodowlanego pszenżyta oraz do poprawy efektywności selekcji - miejscowo-specyficzna mutageneza </w:t>
      </w:r>
      <w:r w:rsidR="00A64B5F">
        <w:br/>
      </w:r>
      <w:r>
        <w:t xml:space="preserve">z wykorzystaniem miejscowo-specyficznych nukleaz” </w:t>
      </w:r>
      <w:r w:rsidR="00A64B5F">
        <w:t xml:space="preserve">     </w:t>
      </w:r>
      <w:r>
        <w:t>(dr A. Linkiewicz)</w:t>
      </w:r>
    </w:p>
    <w:p w14:paraId="36B2C234" w14:textId="77777777" w:rsidR="00254DC4" w:rsidRPr="00254DC4" w:rsidRDefault="00254DC4" w:rsidP="00A64B5F">
      <w:pPr>
        <w:spacing w:after="0" w:line="240" w:lineRule="auto"/>
        <w:ind w:right="-284"/>
        <w:jc w:val="both"/>
        <w:rPr>
          <w:b/>
          <w:bCs/>
        </w:rPr>
      </w:pPr>
      <w:r w:rsidRPr="00254DC4">
        <w:rPr>
          <w:b/>
          <w:bCs/>
        </w:rPr>
        <w:t>Cele projektu:</w:t>
      </w:r>
    </w:p>
    <w:p w14:paraId="02D117C4" w14:textId="62F07CA5" w:rsidR="00254DC4" w:rsidRDefault="00254DC4" w:rsidP="00A64B5F">
      <w:pPr>
        <w:spacing w:after="0" w:line="240" w:lineRule="auto"/>
        <w:ind w:right="-284"/>
        <w:jc w:val="both"/>
      </w:pPr>
      <w:r>
        <w:t xml:space="preserve">Celem projektu było wykorzystanie miejscowo-specyficznych nukleaz TALEN i CRISPR/Cas9 do indukowania kierunkowych mutacji w genomie pszenżyta dla poznania mechanizmów zaangażowanych </w:t>
      </w:r>
      <w:r w:rsidR="00A64B5F">
        <w:br/>
      </w:r>
      <w:r>
        <w:t>w spoczynek nasion celem uzyskania roślin o podwyższonej tolerancji na porastanie.</w:t>
      </w:r>
    </w:p>
    <w:p w14:paraId="7FA44FD8" w14:textId="3FA98B28" w:rsidR="00254DC4" w:rsidRDefault="00254DC4" w:rsidP="00A64B5F">
      <w:pPr>
        <w:spacing w:after="0" w:line="240" w:lineRule="auto"/>
        <w:ind w:right="-284"/>
        <w:jc w:val="both"/>
      </w:pPr>
      <w:r>
        <w:t xml:space="preserve">Mutageneza była wykorzystana do wyciszenia dwóch genów PP2A i ABA8’OH, (homologów PDF1 </w:t>
      </w:r>
      <w:r w:rsidR="00A64B5F">
        <w:br/>
      </w:r>
      <w:r>
        <w:t>i CYP707A u rzodkiewnika), potencjalnie zaangażowanych w spoczynek nasion pszenżyta</w:t>
      </w:r>
    </w:p>
    <w:p w14:paraId="1CC4B0B0" w14:textId="528C5B65" w:rsidR="00254DC4" w:rsidRPr="00254DC4" w:rsidRDefault="00254DC4" w:rsidP="00A64B5F">
      <w:pPr>
        <w:spacing w:after="0" w:line="240" w:lineRule="auto"/>
        <w:ind w:right="-284"/>
        <w:jc w:val="both"/>
        <w:rPr>
          <w:b/>
          <w:bCs/>
        </w:rPr>
      </w:pPr>
      <w:r w:rsidRPr="00254DC4">
        <w:rPr>
          <w:b/>
          <w:bCs/>
        </w:rPr>
        <w:t>W</w:t>
      </w:r>
      <w:r w:rsidRPr="00254DC4">
        <w:rPr>
          <w:b/>
          <w:bCs/>
        </w:rPr>
        <w:t>yni</w:t>
      </w:r>
      <w:r w:rsidRPr="00254DC4">
        <w:rPr>
          <w:b/>
          <w:bCs/>
        </w:rPr>
        <w:t>ki</w:t>
      </w:r>
      <w:r w:rsidRPr="00254DC4">
        <w:rPr>
          <w:b/>
          <w:bCs/>
        </w:rPr>
        <w:t xml:space="preserve"> i dyskusja:</w:t>
      </w:r>
    </w:p>
    <w:p w14:paraId="40BB0D4E" w14:textId="664C50A0" w:rsidR="00254DC4" w:rsidRDefault="00254DC4" w:rsidP="00A64B5F">
      <w:pPr>
        <w:spacing w:after="0" w:line="240" w:lineRule="auto"/>
        <w:ind w:right="-284"/>
        <w:jc w:val="both"/>
      </w:pPr>
      <w:r>
        <w:t xml:space="preserve">Prace obejmowały doświadczenia nad transformacją pszenżyta przy użyciu konstruktów TALEN jak również CRISPR/Cas9 z </w:t>
      </w:r>
      <w:proofErr w:type="spellStart"/>
      <w:r>
        <w:t>sgRNA</w:t>
      </w:r>
      <w:proofErr w:type="spellEnd"/>
      <w:r>
        <w:t xml:space="preserve"> skierowanymi wobec 2 genów potencjalnie związanych z porastaniem pszenżyta. Transformacja roślin rzodkiewnika czterema konstruktami TALEN oraz transformacja roślin pszenżyta sześcioma konstruktami CRISPR/Cas9 dla genów PP2A i ABA8’OH pozwoliła na otrzymanie roślin in vitro i uzyskanie pokolenia T0 oraz T1. W wyniku transformacji około 100 niedojrzałych zarodków pszenżyta na kombinację dla genów PP2A i ABA8’OH, uzyskano 77 roślin T0 odpornych na czynnik selekcyjny </w:t>
      </w:r>
      <w:proofErr w:type="spellStart"/>
      <w:r>
        <w:t>fosfinotrycynę</w:t>
      </w:r>
      <w:proofErr w:type="spellEnd"/>
      <w:r>
        <w:t xml:space="preserve"> (Michalski i Linkiewicz, 2019). Wyselekcjonowane rośliny </w:t>
      </w:r>
      <w:r w:rsidR="00A64B5F">
        <w:br/>
      </w:r>
      <w:r>
        <w:t xml:space="preserve">o potwierdzonej integracji </w:t>
      </w:r>
      <w:proofErr w:type="spellStart"/>
      <w:r>
        <w:t>transgenu</w:t>
      </w:r>
      <w:proofErr w:type="spellEnd"/>
      <w:r>
        <w:t xml:space="preserve"> zostały rozmnożone i uzyskano pokolenie T1.</w:t>
      </w:r>
    </w:p>
    <w:p w14:paraId="62FA3A1B" w14:textId="56B78AC9" w:rsidR="00254DC4" w:rsidRDefault="00254DC4" w:rsidP="00A64B5F">
      <w:pPr>
        <w:spacing w:after="0" w:line="240" w:lineRule="auto"/>
        <w:ind w:right="-284"/>
        <w:jc w:val="both"/>
      </w:pPr>
      <w:r>
        <w:t xml:space="preserve">Sprawdzenie efektywności różnego typu konstruktów do wywoływania mutacji w komórkach pszenżyta </w:t>
      </w:r>
      <w:r w:rsidR="00A64B5F">
        <w:br/>
      </w:r>
      <w:r>
        <w:t xml:space="preserve">z zastosowaniem transfekcji protoplastów z zużyciem PEG oraz ocena aktywności konstruktu poprzez </w:t>
      </w:r>
      <w:proofErr w:type="spellStart"/>
      <w:r>
        <w:t>mikrowstrzeliwanie</w:t>
      </w:r>
      <w:proofErr w:type="spellEnd"/>
      <w:r>
        <w:t xml:space="preserve"> do tkanek jęczmienia (</w:t>
      </w:r>
      <w:proofErr w:type="spellStart"/>
      <w:r>
        <w:t>Budhagatapalli</w:t>
      </w:r>
      <w:proofErr w:type="spellEnd"/>
      <w:r>
        <w:t xml:space="preserve">, 2016), we współpracy z IPK </w:t>
      </w:r>
      <w:proofErr w:type="spellStart"/>
      <w:r>
        <w:t>Gatersleben</w:t>
      </w:r>
      <w:proofErr w:type="spellEnd"/>
      <w:r>
        <w:t xml:space="preserve">, wykazały zmiany w przewidywanych regionach genów PP2A i ABA8’OH. Potwierdzono znaczące zwiększenie efektywności edycji genów dzięki zastosowaniu nukleaz CRISPR/Cas9 </w:t>
      </w:r>
      <w:r w:rsidR="00A64B5F">
        <w:br/>
      </w:r>
      <w:r>
        <w:t xml:space="preserve">i dodatkowych sekwencji Trex2 w stosowanych do transformacji wektorach CRISPR/Cas9. Generowane zmiany obserwowane w komórkach protoplastów pszenżyta mają charakter delecji, insercji lub SNP </w:t>
      </w:r>
      <w:r w:rsidR="00A64B5F">
        <w:br/>
      </w:r>
      <w:r>
        <w:t xml:space="preserve">o różnym nasileniu, zależnie od zastosowanego </w:t>
      </w:r>
      <w:proofErr w:type="spellStart"/>
      <w:r>
        <w:t>sgRNA</w:t>
      </w:r>
      <w:proofErr w:type="spellEnd"/>
      <w:r>
        <w:t xml:space="preserve">. </w:t>
      </w:r>
    </w:p>
    <w:p w14:paraId="349416AB" w14:textId="77777777" w:rsidR="00254DC4" w:rsidRDefault="00254DC4" w:rsidP="00A64B5F">
      <w:pPr>
        <w:spacing w:after="0" w:line="240" w:lineRule="auto"/>
        <w:ind w:right="-284"/>
        <w:jc w:val="both"/>
      </w:pPr>
      <w:r>
        <w:t xml:space="preserve">Zmiany mutacyjne w komórkach </w:t>
      </w:r>
      <w:proofErr w:type="spellStart"/>
      <w:r>
        <w:t>pszenzyta</w:t>
      </w:r>
      <w:proofErr w:type="spellEnd"/>
      <w:r>
        <w:t xml:space="preserve"> i żyta oceniono poprzez zastosowanie </w:t>
      </w:r>
      <w:proofErr w:type="spellStart"/>
      <w:r>
        <w:t>endonukleazy</w:t>
      </w:r>
      <w:proofErr w:type="spellEnd"/>
      <w:r>
        <w:t xml:space="preserve"> T7E1, sekwencjonowanie </w:t>
      </w:r>
      <w:proofErr w:type="spellStart"/>
      <w:r>
        <w:t>Sangera</w:t>
      </w:r>
      <w:proofErr w:type="spellEnd"/>
      <w:r>
        <w:t xml:space="preserve"> oraz sekwencjonowanie NGS w celu określenia typu i częstości zmian mutacyjnych.</w:t>
      </w:r>
    </w:p>
    <w:p w14:paraId="30367770" w14:textId="4865F635" w:rsidR="00254DC4" w:rsidRDefault="00254DC4" w:rsidP="00A64B5F">
      <w:pPr>
        <w:spacing w:after="0" w:line="240" w:lineRule="auto"/>
        <w:ind w:right="-284"/>
        <w:jc w:val="both"/>
      </w:pPr>
      <w:r>
        <w:t xml:space="preserve">Analizy stabilnych linii transgenicznych żyta przy wykorzystaniu sekwencjonowania </w:t>
      </w:r>
      <w:proofErr w:type="spellStart"/>
      <w:r>
        <w:t>Sanger</w:t>
      </w:r>
      <w:proofErr w:type="spellEnd"/>
      <w:r>
        <w:t xml:space="preserve"> </w:t>
      </w:r>
      <w:r w:rsidR="00A64B5F">
        <w:br/>
      </w:r>
      <w:r>
        <w:t xml:space="preserve">w połączeniu z analizą TIDE rejonu CYP707A2 po mutagenezie z użyciem sgRNA2 i sekwencji PP2A po mutagenezie z użyciem sgRNA5 wykazały zmiany w sekwencjach docelowych genów. Typ i nasilenie zmian zależne było od zastosowanego </w:t>
      </w:r>
      <w:proofErr w:type="spellStart"/>
      <w:r>
        <w:t>sgRNA</w:t>
      </w:r>
      <w:proofErr w:type="spellEnd"/>
      <w:r>
        <w:t>.</w:t>
      </w:r>
    </w:p>
    <w:p w14:paraId="3490CAF2" w14:textId="77777777" w:rsidR="00254DC4" w:rsidRDefault="00254DC4" w:rsidP="00A64B5F">
      <w:pPr>
        <w:spacing w:after="0" w:line="240" w:lineRule="auto"/>
        <w:ind w:right="-284"/>
        <w:jc w:val="both"/>
      </w:pPr>
      <w:r>
        <w:t xml:space="preserve">Analiza sekwencji pszenżyta oparta została o sekwencjonowanie NGS materiału uzyskanego poprzez przejściową </w:t>
      </w:r>
      <w:proofErr w:type="spellStart"/>
      <w:r>
        <w:t>nadekspresję</w:t>
      </w:r>
      <w:proofErr w:type="spellEnd"/>
      <w:r>
        <w:t xml:space="preserve"> badanych konstruktów w protoplastach. Charakter generowanych mutacji zależny był od zastosowanego </w:t>
      </w:r>
      <w:proofErr w:type="spellStart"/>
      <w:r>
        <w:t>sgRNA</w:t>
      </w:r>
      <w:proofErr w:type="spellEnd"/>
      <w:r>
        <w:t xml:space="preserve"> oraz obecności lub braku sekwencji Trex2 w konstrukcie. </w:t>
      </w:r>
    </w:p>
    <w:p w14:paraId="31C675CA" w14:textId="77777777" w:rsidR="00254DC4" w:rsidRPr="00254DC4" w:rsidRDefault="00254DC4" w:rsidP="00A64B5F">
      <w:pPr>
        <w:spacing w:after="0" w:line="240" w:lineRule="auto"/>
        <w:ind w:right="-284"/>
        <w:jc w:val="both"/>
        <w:rPr>
          <w:b/>
          <w:bCs/>
        </w:rPr>
      </w:pPr>
      <w:r w:rsidRPr="00254DC4">
        <w:rPr>
          <w:b/>
          <w:bCs/>
        </w:rPr>
        <w:t>Wnioski</w:t>
      </w:r>
    </w:p>
    <w:p w14:paraId="25A191FD" w14:textId="14091A36" w:rsidR="00254DC4" w:rsidRDefault="00254DC4" w:rsidP="00A64B5F">
      <w:pPr>
        <w:pStyle w:val="Akapitzlist"/>
        <w:numPr>
          <w:ilvl w:val="0"/>
          <w:numId w:val="3"/>
        </w:numPr>
        <w:spacing w:after="0" w:line="240" w:lineRule="auto"/>
        <w:ind w:left="0" w:right="-284" w:hanging="284"/>
        <w:jc w:val="both"/>
      </w:pPr>
      <w:r>
        <w:t xml:space="preserve">Zaproponowane w projekcie sposoby konstrukcji i wykonania budowy sekwencji TALEN </w:t>
      </w:r>
      <w:r w:rsidR="00A64B5F">
        <w:br/>
      </w:r>
      <w:r>
        <w:t xml:space="preserve">i </w:t>
      </w:r>
      <w:proofErr w:type="spellStart"/>
      <w:r>
        <w:t>sgRNA</w:t>
      </w:r>
      <w:proofErr w:type="spellEnd"/>
      <w:r>
        <w:t xml:space="preserve"> do edycji sekwencji w/w genów obarczone są niskim ryzykiem wystąpienia mutacji typu off-target.</w:t>
      </w:r>
    </w:p>
    <w:p w14:paraId="426A54F3" w14:textId="5A541AB5" w:rsidR="00254DC4" w:rsidRDefault="00254DC4" w:rsidP="00A64B5F">
      <w:pPr>
        <w:pStyle w:val="Akapitzlist"/>
        <w:numPr>
          <w:ilvl w:val="0"/>
          <w:numId w:val="3"/>
        </w:numPr>
        <w:spacing w:after="0" w:line="240" w:lineRule="auto"/>
        <w:ind w:left="0" w:right="-284" w:hanging="284"/>
        <w:jc w:val="both"/>
      </w:pPr>
      <w:r>
        <w:t xml:space="preserve">Udoskonalone wektory CRISPR/Cas9 sprawdzane w systemie ekspresji przejściowej </w:t>
      </w:r>
      <w:r w:rsidR="00A64B5F">
        <w:br/>
      </w:r>
      <w:r>
        <w:t xml:space="preserve">w komórkach protoplastów pszenżyta oraz w stabilnie </w:t>
      </w:r>
      <w:proofErr w:type="spellStart"/>
      <w:r>
        <w:t>stransformowanych</w:t>
      </w:r>
      <w:proofErr w:type="spellEnd"/>
      <w:r>
        <w:t xml:space="preserve"> zawiesinach żyta, potwierdziły znaczące zwiększenie efektywności edycji genów dzięki zastosowaniu dodatkowych sekwencji Trex2 </w:t>
      </w:r>
      <w:r w:rsidR="00A64B5F">
        <w:br/>
      </w:r>
      <w:r>
        <w:t xml:space="preserve">w wektorach stosowanych do transformacji.  </w:t>
      </w:r>
    </w:p>
    <w:p w14:paraId="0449D768" w14:textId="2963C70B" w:rsidR="00254DC4" w:rsidRDefault="00254DC4" w:rsidP="00A64B5F">
      <w:pPr>
        <w:pStyle w:val="Akapitzlist"/>
        <w:numPr>
          <w:ilvl w:val="0"/>
          <w:numId w:val="3"/>
        </w:numPr>
        <w:spacing w:after="0" w:line="240" w:lineRule="auto"/>
        <w:ind w:left="0" w:right="-284" w:hanging="284"/>
        <w:jc w:val="both"/>
      </w:pPr>
      <w:r>
        <w:t xml:space="preserve">W wyniku zastosowania nukleaz typu CRISPR/Cas9 możliwe jest wprowadzenie zmian </w:t>
      </w:r>
      <w:r w:rsidR="00A64B5F">
        <w:br/>
      </w:r>
      <w:r>
        <w:t xml:space="preserve">w sekwencji genów docelowych - PP2A i CYP707A2 w komórkach pszenżyta i żyta. </w:t>
      </w:r>
    </w:p>
    <w:p w14:paraId="1FD95E31" w14:textId="75EDB2D3" w:rsidR="00254DC4" w:rsidRDefault="00254DC4" w:rsidP="00A64B5F">
      <w:pPr>
        <w:pStyle w:val="Akapitzlist"/>
        <w:numPr>
          <w:ilvl w:val="0"/>
          <w:numId w:val="3"/>
        </w:numPr>
        <w:spacing w:after="0" w:line="240" w:lineRule="auto"/>
        <w:ind w:left="0" w:right="-284" w:hanging="284"/>
        <w:jc w:val="both"/>
      </w:pPr>
      <w:r>
        <w:t xml:space="preserve">Zastosowana metoda transformacji niedojrzałych zarodków zbóż w połączeniu z użyciem zmodyfikowanej procedury regeneracji umożliwia otrzymanie licznych linii T0 pszenżyta, które wykazują in vitro odporność na czynnik selekcyjny </w:t>
      </w:r>
      <w:proofErr w:type="spellStart"/>
      <w:r>
        <w:t>fosfinotrycynę</w:t>
      </w:r>
      <w:proofErr w:type="spellEnd"/>
      <w:r>
        <w:t xml:space="preserve"> oraz obecność konstruktu metodą PCR. </w:t>
      </w:r>
    </w:p>
    <w:p w14:paraId="161656F3" w14:textId="53493BD3" w:rsidR="0050024F" w:rsidRDefault="00254DC4" w:rsidP="00A64B5F">
      <w:pPr>
        <w:pStyle w:val="Akapitzlist"/>
        <w:numPr>
          <w:ilvl w:val="0"/>
          <w:numId w:val="3"/>
        </w:numPr>
        <w:spacing w:after="0" w:line="240" w:lineRule="auto"/>
        <w:ind w:left="0" w:right="-284" w:hanging="284"/>
        <w:jc w:val="both"/>
      </w:pPr>
      <w:r>
        <w:t xml:space="preserve">Analizy Real Time PCR wybranych roślin pszenżyta pokolenia T1 wykazały stabilną ekspresję </w:t>
      </w:r>
      <w:proofErr w:type="spellStart"/>
      <w:r>
        <w:t>sgRNA</w:t>
      </w:r>
      <w:proofErr w:type="spellEnd"/>
      <w:r>
        <w:t xml:space="preserve"> jak</w:t>
      </w:r>
      <w:r w:rsidR="00A64B5F">
        <w:br/>
      </w:r>
      <w:r>
        <w:t>i Cas9, co wskazuje na zastosowanie funkcjonalnych konstruktów oraz odpowiedniej metodyki transformacji. Brak zmian w sekwencjach docelowych roślin T1 może wynikać z analizy zbyt małej próby lub działania mechanizmu niwelującego mutacje u poliploidów.</w:t>
      </w:r>
    </w:p>
    <w:sectPr w:rsidR="0050024F" w:rsidSect="00A6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241EF"/>
    <w:multiLevelType w:val="hybridMultilevel"/>
    <w:tmpl w:val="517ECAD4"/>
    <w:lvl w:ilvl="0" w:tplc="EDE28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60C6"/>
    <w:multiLevelType w:val="hybridMultilevel"/>
    <w:tmpl w:val="ADAAFA90"/>
    <w:lvl w:ilvl="0" w:tplc="EDE28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4DAE"/>
    <w:multiLevelType w:val="hybridMultilevel"/>
    <w:tmpl w:val="C04A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C4"/>
    <w:rsid w:val="00254DC4"/>
    <w:rsid w:val="0050024F"/>
    <w:rsid w:val="00A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E3A9"/>
  <w15:chartTrackingRefBased/>
  <w15:docId w15:val="{84A51756-3327-4020-AC7C-7078A23D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Angelika Sikora</cp:lastModifiedBy>
  <cp:revision>1</cp:revision>
  <dcterms:created xsi:type="dcterms:W3CDTF">2021-02-23T12:20:00Z</dcterms:created>
  <dcterms:modified xsi:type="dcterms:W3CDTF">2021-02-23T12:36:00Z</dcterms:modified>
</cp:coreProperties>
</file>