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3273" w14:textId="77777777" w:rsidR="00BA4CE3" w:rsidRDefault="00BA4CE3" w:rsidP="0031345D">
      <w:pPr>
        <w:spacing w:after="0" w:line="276" w:lineRule="auto"/>
        <w:jc w:val="center"/>
        <w:rPr>
          <w:rFonts w:ascii="Arial" w:hAnsi="Arial" w:cs="Arial"/>
          <w:color w:val="000000"/>
        </w:rPr>
      </w:pPr>
      <w:bookmarkStart w:id="0" w:name="_Hlk137473291"/>
    </w:p>
    <w:p w14:paraId="323BF8F2" w14:textId="5AA73668" w:rsidR="00EC3262" w:rsidRPr="00BA4CE3" w:rsidRDefault="00EC3262" w:rsidP="0031345D">
      <w:pPr>
        <w:spacing w:after="0" w:line="276" w:lineRule="auto"/>
        <w:jc w:val="center"/>
        <w:rPr>
          <w:rFonts w:ascii="Arial" w:hAnsi="Arial" w:cs="Arial"/>
          <w:color w:val="000000"/>
        </w:rPr>
      </w:pPr>
      <w:r w:rsidRPr="00BA4CE3">
        <w:rPr>
          <w:rFonts w:ascii="Arial" w:hAnsi="Arial" w:cs="Arial"/>
          <w:color w:val="000000"/>
        </w:rPr>
        <w:t>Rozprawa doktorska pt.</w:t>
      </w:r>
    </w:p>
    <w:p w14:paraId="36D55DBA" w14:textId="77777777" w:rsidR="0064161D" w:rsidRPr="00BA4CE3" w:rsidRDefault="00EC3262" w:rsidP="0031345D">
      <w:pPr>
        <w:spacing w:after="0" w:line="276" w:lineRule="auto"/>
        <w:jc w:val="center"/>
        <w:rPr>
          <w:rFonts w:ascii="Arial" w:hAnsi="Arial" w:cs="Arial"/>
          <w:b/>
          <w:bCs/>
          <w:color w:val="000000"/>
        </w:rPr>
      </w:pPr>
      <w:r w:rsidRPr="00BA4CE3">
        <w:rPr>
          <w:rFonts w:ascii="Arial" w:hAnsi="Arial" w:cs="Arial"/>
          <w:b/>
          <w:bCs/>
          <w:color w:val="000000"/>
        </w:rPr>
        <w:t xml:space="preserve">Opracowanie systemu oceny efektywności kompleksów nukleazy Cas9, na przykładzie kierunkowej mutagenezy genu </w:t>
      </w:r>
      <w:r w:rsidRPr="00BA4CE3">
        <w:rPr>
          <w:rFonts w:ascii="Arial" w:hAnsi="Arial" w:cs="Arial"/>
          <w:b/>
          <w:bCs/>
          <w:i/>
          <w:iCs/>
          <w:color w:val="000000"/>
        </w:rPr>
        <w:t>ABA8’OH-1</w:t>
      </w:r>
      <w:r w:rsidRPr="00BA4CE3">
        <w:rPr>
          <w:rFonts w:ascii="Arial" w:hAnsi="Arial" w:cs="Arial"/>
          <w:b/>
          <w:bCs/>
          <w:color w:val="000000"/>
        </w:rPr>
        <w:t xml:space="preserve"> związanego ze spoczynkiem nasion </w:t>
      </w:r>
    </w:p>
    <w:p w14:paraId="041B6EB2" w14:textId="39415F3A" w:rsidR="00EC3262" w:rsidRPr="00624806" w:rsidRDefault="00EC3262" w:rsidP="00BA4CE3">
      <w:pPr>
        <w:spacing w:after="120" w:line="276" w:lineRule="auto"/>
        <w:jc w:val="center"/>
        <w:rPr>
          <w:rFonts w:ascii="Arial" w:hAnsi="Arial" w:cs="Arial"/>
          <w:color w:val="000000"/>
        </w:rPr>
      </w:pPr>
      <w:r w:rsidRPr="00BA4CE3">
        <w:rPr>
          <w:rFonts w:ascii="Arial" w:hAnsi="Arial" w:cs="Arial"/>
          <w:b/>
          <w:bCs/>
          <w:color w:val="000000"/>
        </w:rPr>
        <w:t>u pszenicy i pszenżyta.</w:t>
      </w:r>
      <w:bookmarkEnd w:id="0"/>
      <w:r w:rsidR="0064161D" w:rsidRPr="00BA4CE3">
        <w:rPr>
          <w:rFonts w:ascii="Arial" w:hAnsi="Arial" w:cs="Arial"/>
          <w:b/>
          <w:bCs/>
          <w:color w:val="000000"/>
        </w:rPr>
        <w:t xml:space="preserve"> </w:t>
      </w:r>
      <w:r w:rsidR="00BA4CE3" w:rsidRPr="00624806">
        <w:rPr>
          <w:rFonts w:ascii="Arial" w:hAnsi="Arial" w:cs="Arial"/>
          <w:color w:val="000000"/>
        </w:rPr>
        <w:t xml:space="preserve">- </w:t>
      </w:r>
      <w:r w:rsidR="00624806" w:rsidRPr="00624806">
        <w:rPr>
          <w:rFonts w:ascii="Arial" w:hAnsi="Arial" w:cs="Arial"/>
          <w:color w:val="000000"/>
          <w:sz w:val="20"/>
          <w:szCs w:val="20"/>
        </w:rPr>
        <w:t>Z</w:t>
      </w:r>
      <w:r w:rsidRPr="00624806">
        <w:rPr>
          <w:rFonts w:ascii="Arial" w:hAnsi="Arial" w:cs="Arial"/>
          <w:color w:val="000000"/>
          <w:sz w:val="20"/>
          <w:szCs w:val="20"/>
        </w:rPr>
        <w:t>biór 3 publikacji</w:t>
      </w:r>
      <w:r w:rsidR="00624806">
        <w:rPr>
          <w:rFonts w:ascii="Arial" w:hAnsi="Arial" w:cs="Arial"/>
          <w:color w:val="000000"/>
          <w:sz w:val="20"/>
          <w:szCs w:val="20"/>
        </w:rPr>
        <w:t>.</w:t>
      </w:r>
      <w:r w:rsidR="00BA4CE3" w:rsidRPr="00624806">
        <w:rPr>
          <w:rFonts w:ascii="Arial" w:hAnsi="Arial" w:cs="Arial"/>
          <w:color w:val="000000"/>
        </w:rPr>
        <w:t xml:space="preserve"> </w:t>
      </w:r>
    </w:p>
    <w:p w14:paraId="2E877A94" w14:textId="1235C1FC" w:rsidR="0031345D" w:rsidRPr="004B6FC0" w:rsidRDefault="0031345D" w:rsidP="0031345D">
      <w:pPr>
        <w:spacing w:after="0" w:line="276" w:lineRule="auto"/>
        <w:jc w:val="center"/>
        <w:rPr>
          <w:rFonts w:ascii="Arial" w:hAnsi="Arial" w:cs="Arial"/>
          <w:color w:val="000000"/>
          <w:lang w:val="en-US"/>
        </w:rPr>
      </w:pPr>
      <w:r w:rsidRPr="004B6FC0">
        <w:rPr>
          <w:rFonts w:ascii="Arial" w:hAnsi="Arial" w:cs="Arial"/>
          <w:color w:val="000000"/>
          <w:lang w:val="en-US"/>
        </w:rPr>
        <w:t xml:space="preserve">Development of an efficiency evaluation system for Cas9 nuclease complexes based on </w:t>
      </w:r>
      <w:r w:rsidR="004B6FC0">
        <w:rPr>
          <w:rFonts w:ascii="Arial" w:hAnsi="Arial" w:cs="Arial"/>
          <w:color w:val="000000"/>
          <w:lang w:val="en-US"/>
        </w:rPr>
        <w:br/>
      </w:r>
      <w:r w:rsidRPr="004B6FC0">
        <w:rPr>
          <w:rFonts w:ascii="Arial" w:hAnsi="Arial" w:cs="Arial"/>
          <w:color w:val="000000"/>
          <w:lang w:val="en-US"/>
        </w:rPr>
        <w:t xml:space="preserve">a directed mutagenesis of seed dormancy-related </w:t>
      </w:r>
      <w:r w:rsidRPr="004B6FC0">
        <w:rPr>
          <w:rFonts w:ascii="Arial" w:hAnsi="Arial" w:cs="Arial"/>
          <w:i/>
          <w:iCs/>
          <w:color w:val="000000"/>
          <w:lang w:val="en-US"/>
        </w:rPr>
        <w:t>ABA8’OH</w:t>
      </w:r>
      <w:r w:rsidRPr="004B6FC0">
        <w:rPr>
          <w:rFonts w:ascii="Arial" w:hAnsi="Arial" w:cs="Arial"/>
          <w:color w:val="000000"/>
          <w:lang w:val="en-US"/>
        </w:rPr>
        <w:t>-1 gene in wheat and triticale</w:t>
      </w:r>
      <w:r w:rsidR="00624806" w:rsidRPr="004B6FC0">
        <w:rPr>
          <w:rFonts w:ascii="Arial" w:hAnsi="Arial" w:cs="Arial"/>
          <w:color w:val="000000"/>
          <w:lang w:val="en-US"/>
        </w:rPr>
        <w:t>.</w:t>
      </w:r>
    </w:p>
    <w:p w14:paraId="040B6668" w14:textId="1BEF1734" w:rsidR="00367B65" w:rsidRPr="00367B65" w:rsidRDefault="00367B65" w:rsidP="00367B65">
      <w:pPr>
        <w:spacing w:after="0" w:line="240" w:lineRule="auto"/>
        <w:jc w:val="center"/>
        <w:rPr>
          <w:rFonts w:ascii="Arial" w:hAnsi="Arial" w:cs="Arial"/>
          <w:iCs/>
          <w:sz w:val="18"/>
          <w:szCs w:val="18"/>
          <w:lang w:val="en-US" w:eastAsia="pl-PL"/>
        </w:rPr>
      </w:pPr>
      <w:r w:rsidRPr="00367B65">
        <w:rPr>
          <w:rFonts w:ascii="Arial" w:hAnsi="Arial" w:cs="Arial"/>
          <w:iCs/>
          <w:sz w:val="18"/>
          <w:szCs w:val="18"/>
          <w:lang w:val="en-US" w:eastAsia="pl-PL"/>
        </w:rPr>
        <w:t>- Compilation of 3 publications</w:t>
      </w:r>
      <w:r w:rsidR="00624806">
        <w:rPr>
          <w:rFonts w:ascii="Arial" w:hAnsi="Arial" w:cs="Arial"/>
          <w:iCs/>
          <w:sz w:val="18"/>
          <w:szCs w:val="18"/>
          <w:lang w:val="en-US" w:eastAsia="pl-PL"/>
        </w:rPr>
        <w:t>.</w:t>
      </w:r>
    </w:p>
    <w:p w14:paraId="197D7F0E" w14:textId="6BC7F488" w:rsidR="0031345D" w:rsidRPr="00367B65" w:rsidRDefault="0064161D" w:rsidP="00BA4CE3">
      <w:pPr>
        <w:spacing w:before="120" w:after="120" w:line="276" w:lineRule="auto"/>
        <w:jc w:val="center"/>
        <w:rPr>
          <w:rFonts w:ascii="Arial" w:hAnsi="Arial" w:cs="Arial"/>
          <w:b/>
          <w:bCs/>
          <w:color w:val="000000"/>
          <w:lang w:val="en-US"/>
        </w:rPr>
      </w:pPr>
      <w:proofErr w:type="spellStart"/>
      <w:r w:rsidRPr="00367B65">
        <w:rPr>
          <w:rFonts w:ascii="Arial" w:hAnsi="Arial" w:cs="Arial"/>
          <w:b/>
          <w:bCs/>
          <w:color w:val="000000"/>
          <w:lang w:val="en-US"/>
        </w:rPr>
        <w:t>mgr</w:t>
      </w:r>
      <w:proofErr w:type="spellEnd"/>
      <w:r w:rsidRPr="00367B65">
        <w:rPr>
          <w:rFonts w:ascii="Arial" w:hAnsi="Arial" w:cs="Arial"/>
          <w:b/>
          <w:bCs/>
          <w:color w:val="000000"/>
          <w:lang w:val="en-US"/>
        </w:rPr>
        <w:t xml:space="preserve"> </w:t>
      </w:r>
      <w:r w:rsidR="0031345D" w:rsidRPr="00367B65">
        <w:rPr>
          <w:rFonts w:ascii="Arial" w:hAnsi="Arial" w:cs="Arial"/>
          <w:b/>
          <w:bCs/>
          <w:color w:val="000000"/>
          <w:lang w:val="en-US"/>
        </w:rPr>
        <w:t>Krzysztof Michalski</w:t>
      </w:r>
    </w:p>
    <w:p w14:paraId="4BAE7922" w14:textId="77777777" w:rsidR="0031345D" w:rsidRPr="004B6FC0" w:rsidRDefault="0031345D" w:rsidP="0031345D">
      <w:pPr>
        <w:spacing w:after="0" w:line="276" w:lineRule="auto"/>
        <w:jc w:val="center"/>
        <w:rPr>
          <w:rFonts w:ascii="Arial" w:hAnsi="Arial" w:cs="Arial"/>
          <w:iCs/>
        </w:rPr>
      </w:pPr>
      <w:r w:rsidRPr="004B6FC0">
        <w:rPr>
          <w:rFonts w:ascii="Arial" w:hAnsi="Arial" w:cs="Arial"/>
          <w:iCs/>
        </w:rPr>
        <w:t>Instytut Hodowli i Aklimatyzacji Roślin – Państwowy Instytut Badawczy w Radzikowie</w:t>
      </w:r>
    </w:p>
    <w:p w14:paraId="7F69EA56" w14:textId="702111B3" w:rsidR="0031345D" w:rsidRPr="004B6FC0" w:rsidRDefault="0031345D" w:rsidP="00BA4CE3">
      <w:pPr>
        <w:spacing w:after="120" w:line="276" w:lineRule="auto"/>
        <w:jc w:val="center"/>
        <w:rPr>
          <w:rFonts w:ascii="Arial" w:hAnsi="Arial" w:cs="Arial"/>
          <w:color w:val="000000"/>
        </w:rPr>
      </w:pPr>
      <w:r w:rsidRPr="004B6FC0">
        <w:rPr>
          <w:rFonts w:ascii="Arial" w:hAnsi="Arial" w:cs="Arial"/>
          <w:color w:val="000000"/>
        </w:rPr>
        <w:t>Laboratorium Kontroli Genetycznie Modyfikowanych Organizmów</w:t>
      </w:r>
    </w:p>
    <w:p w14:paraId="1D4FCF0B" w14:textId="28E41626" w:rsidR="0031345D" w:rsidRPr="00BA4CE3" w:rsidRDefault="0031345D" w:rsidP="004B6FC0">
      <w:pPr>
        <w:pStyle w:val="Default"/>
        <w:spacing w:after="120" w:line="276" w:lineRule="auto"/>
        <w:jc w:val="center"/>
        <w:rPr>
          <w:rFonts w:ascii="Arial" w:hAnsi="Arial" w:cs="Arial"/>
          <w:sz w:val="20"/>
          <w:szCs w:val="20"/>
        </w:rPr>
      </w:pPr>
      <w:r w:rsidRPr="00BA4CE3">
        <w:rPr>
          <w:rFonts w:ascii="Arial" w:hAnsi="Arial" w:cs="Arial"/>
          <w:sz w:val="20"/>
          <w:szCs w:val="20"/>
        </w:rPr>
        <w:t xml:space="preserve">o nadanie stopnia doktora w dziedzinie nauk rolniczych, </w:t>
      </w:r>
      <w:r w:rsidR="0064161D" w:rsidRPr="00BA4CE3">
        <w:rPr>
          <w:rFonts w:ascii="Arial" w:hAnsi="Arial" w:cs="Arial"/>
          <w:sz w:val="20"/>
          <w:szCs w:val="20"/>
        </w:rPr>
        <w:t xml:space="preserve">w </w:t>
      </w:r>
      <w:r w:rsidRPr="00BA4CE3">
        <w:rPr>
          <w:rFonts w:ascii="Arial" w:hAnsi="Arial" w:cs="Arial"/>
          <w:sz w:val="20"/>
          <w:szCs w:val="20"/>
        </w:rPr>
        <w:t>dyscyplinie agronomia*/</w:t>
      </w:r>
    </w:p>
    <w:p w14:paraId="452ED7A8" w14:textId="483D089E" w:rsidR="0031345D" w:rsidRPr="004B6FC0" w:rsidRDefault="0031345D" w:rsidP="0031345D">
      <w:pPr>
        <w:spacing w:after="0" w:line="276" w:lineRule="auto"/>
        <w:jc w:val="center"/>
        <w:rPr>
          <w:rFonts w:ascii="Arial" w:hAnsi="Arial" w:cs="Arial"/>
          <w:color w:val="000000"/>
        </w:rPr>
      </w:pPr>
      <w:r w:rsidRPr="004B6FC0">
        <w:rPr>
          <w:rFonts w:ascii="Arial" w:hAnsi="Arial" w:cs="Arial"/>
          <w:iCs/>
          <w:lang w:val="en-US"/>
        </w:rPr>
        <w:t>Promotor</w:t>
      </w:r>
      <w:r w:rsidRPr="004B6FC0">
        <w:rPr>
          <w:rFonts w:ascii="Arial" w:hAnsi="Arial" w:cs="Arial"/>
          <w:b/>
          <w:iCs/>
          <w:lang w:val="en-US"/>
        </w:rPr>
        <w:t xml:space="preserve">: </w:t>
      </w:r>
      <w:r w:rsidRPr="004B6FC0">
        <w:rPr>
          <w:rFonts w:ascii="Arial" w:hAnsi="Arial" w:cs="Arial"/>
          <w:bCs/>
          <w:iCs/>
          <w:lang w:val="en-US"/>
        </w:rPr>
        <w:t xml:space="preserve"> prof. </w:t>
      </w:r>
      <w:r w:rsidRPr="004B6FC0">
        <w:rPr>
          <w:rFonts w:ascii="Arial" w:hAnsi="Arial" w:cs="Arial"/>
          <w:color w:val="000000"/>
          <w:lang w:val="en-GB"/>
        </w:rPr>
        <w:t xml:space="preserve">dr hab. </w:t>
      </w:r>
      <w:r w:rsidRPr="004B6FC0">
        <w:rPr>
          <w:rFonts w:ascii="Arial" w:hAnsi="Arial" w:cs="Arial"/>
          <w:color w:val="000000"/>
        </w:rPr>
        <w:t>Janusz Z</w:t>
      </w:r>
      <w:r w:rsidR="004B6FC0" w:rsidRPr="004B6FC0">
        <w:rPr>
          <w:rFonts w:ascii="Arial" w:hAnsi="Arial" w:cs="Arial"/>
          <w:color w:val="000000"/>
        </w:rPr>
        <w:t>IMNY</w:t>
      </w:r>
    </w:p>
    <w:p w14:paraId="17611040" w14:textId="124F9C4D" w:rsidR="00BA4CE3" w:rsidRPr="004B6FC0" w:rsidRDefault="0031345D" w:rsidP="0031345D">
      <w:pPr>
        <w:pStyle w:val="Default"/>
        <w:spacing w:line="276" w:lineRule="auto"/>
        <w:jc w:val="center"/>
        <w:rPr>
          <w:rFonts w:ascii="Arial" w:hAnsi="Arial" w:cs="Arial"/>
          <w:iCs/>
          <w:sz w:val="22"/>
          <w:szCs w:val="22"/>
        </w:rPr>
      </w:pPr>
      <w:r w:rsidRPr="004B6FC0">
        <w:rPr>
          <w:rFonts w:ascii="Arial" w:hAnsi="Arial" w:cs="Arial"/>
          <w:iCs/>
          <w:sz w:val="22"/>
          <w:szCs w:val="22"/>
        </w:rPr>
        <w:t>Promotor pomocniczy: dr Anna M. L</w:t>
      </w:r>
      <w:r w:rsidR="004B6FC0" w:rsidRPr="004B6FC0">
        <w:rPr>
          <w:rFonts w:ascii="Arial" w:hAnsi="Arial" w:cs="Arial"/>
          <w:iCs/>
          <w:sz w:val="22"/>
          <w:szCs w:val="22"/>
        </w:rPr>
        <w:t>INKIEWICZ</w:t>
      </w:r>
    </w:p>
    <w:p w14:paraId="73C53012" w14:textId="54B74F11" w:rsidR="0031345D" w:rsidRPr="00BA4CE3" w:rsidRDefault="0031345D" w:rsidP="0031345D">
      <w:pPr>
        <w:pStyle w:val="Default"/>
        <w:spacing w:line="276" w:lineRule="auto"/>
        <w:jc w:val="center"/>
        <w:rPr>
          <w:rFonts w:ascii="Arial" w:hAnsi="Arial" w:cs="Arial"/>
          <w:iCs/>
          <w:sz w:val="22"/>
          <w:szCs w:val="22"/>
        </w:rPr>
      </w:pPr>
      <w:r w:rsidRPr="00BA4CE3">
        <w:rPr>
          <w:rFonts w:ascii="Arial" w:hAnsi="Arial" w:cs="Arial"/>
          <w:iCs/>
          <w:sz w:val="22"/>
          <w:szCs w:val="22"/>
        </w:rPr>
        <w:t xml:space="preserve">  </w:t>
      </w:r>
    </w:p>
    <w:p w14:paraId="0BA4A7D1" w14:textId="245D24B4" w:rsidR="00EC3262" w:rsidRDefault="00EC3262" w:rsidP="004B6FC0">
      <w:pPr>
        <w:spacing w:after="0" w:line="276" w:lineRule="auto"/>
        <w:jc w:val="both"/>
        <w:rPr>
          <w:rFonts w:ascii="Arial" w:hAnsi="Arial" w:cs="Arial"/>
          <w:b/>
          <w:bCs/>
        </w:rPr>
      </w:pPr>
      <w:r w:rsidRPr="00BA4CE3">
        <w:rPr>
          <w:rFonts w:ascii="Arial" w:hAnsi="Arial" w:cs="Arial"/>
          <w:b/>
          <w:bCs/>
        </w:rPr>
        <w:t>STRESZCZENIE</w:t>
      </w:r>
    </w:p>
    <w:p w14:paraId="46C6A204" w14:textId="2455E67B" w:rsidR="00EC3262" w:rsidRPr="00BA4CE3" w:rsidRDefault="00EC3262" w:rsidP="00BA4CE3">
      <w:pPr>
        <w:spacing w:after="0" w:line="276" w:lineRule="auto"/>
        <w:ind w:firstLine="720"/>
        <w:jc w:val="both"/>
        <w:rPr>
          <w:rFonts w:ascii="Arial" w:hAnsi="Arial" w:cs="Arial"/>
        </w:rPr>
      </w:pPr>
      <w:r w:rsidRPr="00BA4CE3">
        <w:rPr>
          <w:rFonts w:ascii="Arial" w:hAnsi="Arial" w:cs="Arial"/>
        </w:rPr>
        <w:t xml:space="preserve">Porastanie przedżniwne to jeden z najdotkliwszych problemów generujących straty plonu pszenżyta i pszenicy. Ziarno dotknięte porastaniem traci właściwości odżywcze i walory konsumpcyjne. U podstaw tego procesu leżą genetyczne oraz fizjologiczne uwarunkowania uprawnych odmian zbóż do przedwczesnego przerwania spoczynku nasion, zwłaszcza </w:t>
      </w:r>
      <w:r w:rsidR="00BA4CE3">
        <w:rPr>
          <w:rFonts w:ascii="Arial" w:hAnsi="Arial" w:cs="Arial"/>
        </w:rPr>
        <w:br/>
      </w:r>
      <w:r w:rsidRPr="00BA4CE3">
        <w:rPr>
          <w:rFonts w:ascii="Arial" w:hAnsi="Arial" w:cs="Arial"/>
        </w:rPr>
        <w:t>w przypadku występowania obfitych opadów deszczu przed okresem żniw. Jedyną skuteczną metodą przeciwdziałania porastaniu jest uprawa odmian o dostatecznie długim okresie spoczynku nasion, pozwalającym na skuteczne zbiory.</w:t>
      </w:r>
    </w:p>
    <w:p w14:paraId="4D4249EB" w14:textId="6126B5B9" w:rsidR="00EC3262" w:rsidRPr="00BA4CE3" w:rsidRDefault="00EC3262" w:rsidP="00BA4CE3">
      <w:pPr>
        <w:spacing w:after="0" w:line="276" w:lineRule="auto"/>
        <w:ind w:firstLine="720"/>
        <w:jc w:val="both"/>
        <w:rPr>
          <w:rFonts w:ascii="Arial" w:hAnsi="Arial" w:cs="Arial"/>
        </w:rPr>
      </w:pPr>
      <w:r w:rsidRPr="00BA4CE3">
        <w:rPr>
          <w:rFonts w:ascii="Arial" w:hAnsi="Arial" w:cs="Arial"/>
        </w:rPr>
        <w:t xml:space="preserve">Mając na celu uzyskanie nowych genotypów pszenżyta o podwyższonej odporności na porastanie przedżniwne, postanowiono zastosować narzędzie nowych technik genomowych, tj. miejscowo-specyficzne nukleazy, dla zaindukowania kierunkowej mutagenezy w genie związanym z przerwaniem spoczynku nasion. Jako główny obiekt badawczy wybrano pszenżyto – zboże o największej podatności na porastanie. W toku prac zaprojektowano dwa kompleksy nukleazy Cas9 nakierowane na uzyskanie mutacji w określonej sekwencji genu </w:t>
      </w:r>
      <w:r w:rsidRPr="00BA4CE3">
        <w:rPr>
          <w:rFonts w:ascii="Arial" w:hAnsi="Arial" w:cs="Arial"/>
          <w:i/>
          <w:iCs/>
        </w:rPr>
        <w:t>TsABA8’OH-1</w:t>
      </w:r>
      <w:r w:rsidRPr="00BA4CE3">
        <w:rPr>
          <w:rFonts w:ascii="Arial" w:hAnsi="Arial" w:cs="Arial"/>
        </w:rPr>
        <w:t xml:space="preserve">, którego produkt jest odpowiedzialny za degradację kwasu </w:t>
      </w:r>
      <w:proofErr w:type="spellStart"/>
      <w:r w:rsidRPr="00BA4CE3">
        <w:rPr>
          <w:rFonts w:ascii="Arial" w:hAnsi="Arial" w:cs="Arial"/>
        </w:rPr>
        <w:t>abscysynowego</w:t>
      </w:r>
      <w:proofErr w:type="spellEnd"/>
      <w:r w:rsidRPr="00BA4CE3">
        <w:rPr>
          <w:rFonts w:ascii="Arial" w:hAnsi="Arial" w:cs="Arial"/>
        </w:rPr>
        <w:t xml:space="preserve"> </w:t>
      </w:r>
      <w:r w:rsidR="00BA4CE3">
        <w:rPr>
          <w:rFonts w:ascii="Arial" w:hAnsi="Arial" w:cs="Arial"/>
        </w:rPr>
        <w:br/>
      </w:r>
      <w:r w:rsidRPr="00BA4CE3">
        <w:rPr>
          <w:rFonts w:ascii="Arial" w:hAnsi="Arial" w:cs="Arial"/>
        </w:rPr>
        <w:t xml:space="preserve">w ziarniakach. Wybrane sekwencje </w:t>
      </w:r>
      <w:proofErr w:type="spellStart"/>
      <w:r w:rsidRPr="00BA4CE3">
        <w:rPr>
          <w:rFonts w:ascii="Arial" w:hAnsi="Arial" w:cs="Arial"/>
        </w:rPr>
        <w:t>gRNA</w:t>
      </w:r>
      <w:proofErr w:type="spellEnd"/>
      <w:r w:rsidRPr="00BA4CE3">
        <w:rPr>
          <w:rFonts w:ascii="Arial" w:hAnsi="Arial" w:cs="Arial"/>
        </w:rPr>
        <w:t xml:space="preserve"> poddano ocenie </w:t>
      </w:r>
      <w:r w:rsidRPr="00BA4CE3">
        <w:rPr>
          <w:rFonts w:ascii="Arial" w:hAnsi="Arial" w:cs="Arial"/>
          <w:i/>
          <w:iCs/>
        </w:rPr>
        <w:t xml:space="preserve">in </w:t>
      </w:r>
      <w:proofErr w:type="spellStart"/>
      <w:r w:rsidRPr="00BA4CE3">
        <w:rPr>
          <w:rFonts w:ascii="Arial" w:hAnsi="Arial" w:cs="Arial"/>
          <w:i/>
          <w:iCs/>
        </w:rPr>
        <w:t>silico</w:t>
      </w:r>
      <w:proofErr w:type="spellEnd"/>
      <w:r w:rsidRPr="00BA4CE3">
        <w:rPr>
          <w:rFonts w:ascii="Arial" w:hAnsi="Arial" w:cs="Arial"/>
        </w:rPr>
        <w:t xml:space="preserve"> polegającej na analizie struktury 2D oraz specyficzności względem wybranego genu. W następnej kolejności dokonano ich syntezy oraz oceny efektywności z zastosowaniem dwóch znanych systemów </w:t>
      </w:r>
      <w:r w:rsidRPr="00BA4CE3">
        <w:rPr>
          <w:rFonts w:ascii="Arial" w:hAnsi="Arial" w:cs="Arial"/>
          <w:i/>
          <w:iCs/>
        </w:rPr>
        <w:t>in vitro</w:t>
      </w:r>
      <w:r w:rsidRPr="00BA4CE3">
        <w:rPr>
          <w:rFonts w:ascii="Arial" w:hAnsi="Arial" w:cs="Arial"/>
        </w:rPr>
        <w:t xml:space="preserve">, tj. ekspresji przejściowej w liściach jęczmienia oraz transfekcji protoplastów pszenżyta. Obydwa systemy pozwoliły na potwierdzenie aktywności zaprojektowanych kompleksów </w:t>
      </w:r>
      <w:proofErr w:type="spellStart"/>
      <w:r w:rsidRPr="00BA4CE3">
        <w:rPr>
          <w:rFonts w:ascii="Arial" w:hAnsi="Arial" w:cs="Arial"/>
        </w:rPr>
        <w:t>gRNA</w:t>
      </w:r>
      <w:proofErr w:type="spellEnd"/>
      <w:r w:rsidRPr="00BA4CE3">
        <w:rPr>
          <w:rFonts w:ascii="Arial" w:hAnsi="Arial" w:cs="Arial"/>
        </w:rPr>
        <w:t xml:space="preserve">/Cas9 względem wybranego genu. Jednakże, test oparty o transfekcję protoplastów nie pozwolił na identyfikację oczekiwanych różnic w efektywności kompleksów względem poszczególnych </w:t>
      </w:r>
      <w:proofErr w:type="spellStart"/>
      <w:r w:rsidRPr="00BA4CE3">
        <w:rPr>
          <w:rFonts w:ascii="Arial" w:hAnsi="Arial" w:cs="Arial"/>
        </w:rPr>
        <w:t>sub</w:t>
      </w:r>
      <w:proofErr w:type="spellEnd"/>
      <w:r w:rsidRPr="00BA4CE3">
        <w:rPr>
          <w:rFonts w:ascii="Arial" w:hAnsi="Arial" w:cs="Arial"/>
        </w:rPr>
        <w:t xml:space="preserve">-genomów pszenżyta. W związku z tym, w następnej kolejności zastosowano zawiesiny komórkowe pszenicy dla opracowania autorskiego systemu oceny efektywności kompleksów </w:t>
      </w:r>
      <w:proofErr w:type="spellStart"/>
      <w:r w:rsidRPr="00BA4CE3">
        <w:rPr>
          <w:rFonts w:ascii="Arial" w:hAnsi="Arial" w:cs="Arial"/>
        </w:rPr>
        <w:t>gRNA</w:t>
      </w:r>
      <w:proofErr w:type="spellEnd"/>
      <w:r w:rsidRPr="00BA4CE3">
        <w:rPr>
          <w:rFonts w:ascii="Arial" w:hAnsi="Arial" w:cs="Arial"/>
        </w:rPr>
        <w:t xml:space="preserve">/Cas9. Zaproponowany system powstał z myślą </w:t>
      </w:r>
      <w:r w:rsidR="00BA4CE3">
        <w:rPr>
          <w:rFonts w:ascii="Arial" w:hAnsi="Arial" w:cs="Arial"/>
        </w:rPr>
        <w:br/>
      </w:r>
      <w:r w:rsidRPr="00BA4CE3">
        <w:rPr>
          <w:rFonts w:ascii="Arial" w:hAnsi="Arial" w:cs="Arial"/>
        </w:rPr>
        <w:t xml:space="preserve">o przeciwdziałaniu ograniczeniom metody opartej o transfekcję protoplastów, takich jak efekt dawki </w:t>
      </w:r>
      <w:proofErr w:type="spellStart"/>
      <w:r w:rsidRPr="00BA4CE3">
        <w:rPr>
          <w:rFonts w:ascii="Arial" w:hAnsi="Arial" w:cs="Arial"/>
        </w:rPr>
        <w:t>transgenu</w:t>
      </w:r>
      <w:proofErr w:type="spellEnd"/>
      <w:r w:rsidRPr="00BA4CE3">
        <w:rPr>
          <w:rFonts w:ascii="Arial" w:hAnsi="Arial" w:cs="Arial"/>
        </w:rPr>
        <w:t xml:space="preserve"> czy różnice w profilach kondensacji chromatyny między protoplastami </w:t>
      </w:r>
      <w:r w:rsidR="00BA4CE3">
        <w:rPr>
          <w:rFonts w:ascii="Arial" w:hAnsi="Arial" w:cs="Arial"/>
        </w:rPr>
        <w:br/>
      </w:r>
      <w:r w:rsidRPr="00BA4CE3">
        <w:rPr>
          <w:rFonts w:ascii="Arial" w:hAnsi="Arial" w:cs="Arial"/>
        </w:rPr>
        <w:t>a komórkami niedojrzałych zarodków, poddawanych stabilnej transformacji.</w:t>
      </w:r>
    </w:p>
    <w:p w14:paraId="032B843D" w14:textId="2516692E" w:rsidR="0030273F" w:rsidRPr="00BA4CE3" w:rsidRDefault="00EC3262" w:rsidP="00BA4CE3">
      <w:pPr>
        <w:spacing w:after="0" w:line="276" w:lineRule="auto"/>
        <w:ind w:firstLine="720"/>
        <w:jc w:val="both"/>
        <w:rPr>
          <w:rFonts w:ascii="Arial" w:hAnsi="Arial" w:cs="Arial"/>
        </w:rPr>
      </w:pPr>
      <w:r w:rsidRPr="00BA4CE3">
        <w:rPr>
          <w:rFonts w:ascii="Arial" w:hAnsi="Arial" w:cs="Arial"/>
        </w:rPr>
        <w:t xml:space="preserve">W toku realizacji opisywanych działań poczyniono także szereg dodatkowych obserwacji, pogłębiających stan wiedzy z dziedzin kierunkowej mutagenezy i genetyki pszenżyta. Zaobserwowano silny, pozytywny wpływ </w:t>
      </w:r>
      <w:proofErr w:type="spellStart"/>
      <w:r w:rsidRPr="00BA4CE3">
        <w:rPr>
          <w:rFonts w:ascii="Arial" w:hAnsi="Arial" w:cs="Arial"/>
        </w:rPr>
        <w:t>eksonukleazy</w:t>
      </w:r>
      <w:proofErr w:type="spellEnd"/>
      <w:r w:rsidRPr="00BA4CE3">
        <w:rPr>
          <w:rFonts w:ascii="Arial" w:hAnsi="Arial" w:cs="Arial"/>
        </w:rPr>
        <w:t xml:space="preserve"> TREX2 na aktywność kompleksów </w:t>
      </w:r>
      <w:proofErr w:type="spellStart"/>
      <w:r w:rsidRPr="00BA4CE3">
        <w:rPr>
          <w:rFonts w:ascii="Arial" w:hAnsi="Arial" w:cs="Arial"/>
        </w:rPr>
        <w:t>gRNA</w:t>
      </w:r>
      <w:proofErr w:type="spellEnd"/>
      <w:r w:rsidRPr="00BA4CE3">
        <w:rPr>
          <w:rFonts w:ascii="Arial" w:hAnsi="Arial" w:cs="Arial"/>
        </w:rPr>
        <w:t xml:space="preserve">/Cas9. Dokonano także identyfikacji sekwencji wszystkich homeoalleli genu </w:t>
      </w:r>
      <w:r w:rsidRPr="00BA4CE3">
        <w:rPr>
          <w:rFonts w:ascii="Arial" w:hAnsi="Arial" w:cs="Arial"/>
          <w:i/>
          <w:iCs/>
        </w:rPr>
        <w:t>TsABA8’OH-1</w:t>
      </w:r>
      <w:r w:rsidRPr="00BA4CE3">
        <w:rPr>
          <w:rFonts w:ascii="Arial" w:hAnsi="Arial" w:cs="Arial"/>
        </w:rPr>
        <w:t xml:space="preserve"> u pszenżyta odmiany </w:t>
      </w:r>
      <w:proofErr w:type="spellStart"/>
      <w:r w:rsidRPr="00BA4CE3">
        <w:rPr>
          <w:rFonts w:ascii="Arial" w:hAnsi="Arial" w:cs="Arial"/>
        </w:rPr>
        <w:t>Bogo</w:t>
      </w:r>
      <w:proofErr w:type="spellEnd"/>
      <w:r w:rsidRPr="00BA4CE3">
        <w:rPr>
          <w:rFonts w:ascii="Arial" w:hAnsi="Arial" w:cs="Arial"/>
        </w:rPr>
        <w:t xml:space="preserve">. Zebrane wyniki i ustalenia opublikowano </w:t>
      </w:r>
      <w:r w:rsidR="00BA4CE3">
        <w:rPr>
          <w:rFonts w:ascii="Arial" w:hAnsi="Arial" w:cs="Arial"/>
        </w:rPr>
        <w:br/>
      </w:r>
      <w:r w:rsidRPr="00BA4CE3">
        <w:rPr>
          <w:rFonts w:ascii="Arial" w:hAnsi="Arial" w:cs="Arial"/>
        </w:rPr>
        <w:t>w formie dwóch prac autorskich oraz dwóch podrozdziałów w przeglądowej pracy zbiorowej.</w:t>
      </w:r>
    </w:p>
    <w:p w14:paraId="5AA0577D" w14:textId="77777777" w:rsidR="0031345D" w:rsidRPr="00BA4CE3" w:rsidRDefault="0031345D" w:rsidP="0031345D">
      <w:pPr>
        <w:spacing w:after="0" w:line="276" w:lineRule="auto"/>
        <w:jc w:val="both"/>
        <w:rPr>
          <w:rFonts w:ascii="Arial" w:hAnsi="Arial" w:cs="Arial"/>
        </w:rPr>
      </w:pPr>
    </w:p>
    <w:p w14:paraId="28B8C77C" w14:textId="77777777" w:rsidR="00BA4CE3" w:rsidRPr="004B6FC0" w:rsidRDefault="00BA4CE3" w:rsidP="0031345D">
      <w:pPr>
        <w:spacing w:after="0" w:line="276" w:lineRule="auto"/>
        <w:jc w:val="center"/>
        <w:rPr>
          <w:rFonts w:ascii="Arial" w:hAnsi="Arial" w:cs="Arial"/>
          <w:b/>
          <w:bCs/>
          <w:color w:val="000000"/>
        </w:rPr>
      </w:pPr>
    </w:p>
    <w:p w14:paraId="793A9903" w14:textId="44677B3A" w:rsidR="00BA4CE3" w:rsidRDefault="0031345D" w:rsidP="0031345D">
      <w:pPr>
        <w:spacing w:after="0" w:line="276" w:lineRule="auto"/>
        <w:jc w:val="center"/>
        <w:rPr>
          <w:rFonts w:ascii="Arial" w:hAnsi="Arial" w:cs="Arial"/>
          <w:b/>
          <w:bCs/>
          <w:color w:val="000000"/>
          <w:lang w:val="en-US"/>
        </w:rPr>
      </w:pPr>
      <w:r w:rsidRPr="0064161D">
        <w:rPr>
          <w:rFonts w:ascii="Arial" w:hAnsi="Arial" w:cs="Arial"/>
          <w:b/>
          <w:bCs/>
          <w:color w:val="000000"/>
          <w:lang w:val="en-US"/>
        </w:rPr>
        <w:t xml:space="preserve">Development of an efficiency evaluation system for Cas9 nuclease complexes based on a directed mutagenesis of seed dormancy-related </w:t>
      </w:r>
      <w:r w:rsidRPr="0064161D">
        <w:rPr>
          <w:rFonts w:ascii="Arial" w:hAnsi="Arial" w:cs="Arial"/>
          <w:b/>
          <w:bCs/>
          <w:i/>
          <w:iCs/>
          <w:color w:val="000000"/>
          <w:lang w:val="en-US"/>
        </w:rPr>
        <w:t>ABA8’OH</w:t>
      </w:r>
      <w:r w:rsidRPr="0064161D">
        <w:rPr>
          <w:rFonts w:ascii="Arial" w:hAnsi="Arial" w:cs="Arial"/>
          <w:b/>
          <w:bCs/>
          <w:color w:val="000000"/>
          <w:lang w:val="en-US"/>
        </w:rPr>
        <w:t xml:space="preserve">-1 gene </w:t>
      </w:r>
    </w:p>
    <w:p w14:paraId="25D39EF9" w14:textId="77777777" w:rsidR="00367B65" w:rsidRPr="00367B65" w:rsidRDefault="0031345D" w:rsidP="00367B65">
      <w:pPr>
        <w:spacing w:after="120" w:line="240" w:lineRule="auto"/>
        <w:jc w:val="center"/>
        <w:rPr>
          <w:rFonts w:ascii="Arial" w:hAnsi="Arial" w:cs="Arial"/>
          <w:iCs/>
          <w:sz w:val="18"/>
          <w:szCs w:val="18"/>
          <w:lang w:val="en-US" w:eastAsia="pl-PL"/>
        </w:rPr>
      </w:pPr>
      <w:r w:rsidRPr="0064161D">
        <w:rPr>
          <w:rFonts w:ascii="Arial" w:hAnsi="Arial" w:cs="Arial"/>
          <w:b/>
          <w:bCs/>
          <w:color w:val="000000"/>
          <w:lang w:val="en-US"/>
        </w:rPr>
        <w:t>in wheat and triticale</w:t>
      </w:r>
      <w:r w:rsidR="00367B65">
        <w:rPr>
          <w:rFonts w:ascii="Arial" w:hAnsi="Arial" w:cs="Arial"/>
          <w:b/>
          <w:bCs/>
          <w:color w:val="000000"/>
          <w:lang w:val="en-US"/>
        </w:rPr>
        <w:t xml:space="preserve"> </w:t>
      </w:r>
      <w:r w:rsidR="00367B65" w:rsidRPr="00367B65">
        <w:rPr>
          <w:rFonts w:ascii="Arial" w:hAnsi="Arial" w:cs="Arial"/>
          <w:iCs/>
          <w:sz w:val="18"/>
          <w:szCs w:val="18"/>
          <w:lang w:val="en-US" w:eastAsia="pl-PL"/>
        </w:rPr>
        <w:t xml:space="preserve">- </w:t>
      </w:r>
      <w:r w:rsidR="00367B65" w:rsidRPr="00367B65">
        <w:rPr>
          <w:rFonts w:ascii="Arial" w:hAnsi="Arial" w:cs="Arial"/>
          <w:iCs/>
          <w:sz w:val="20"/>
          <w:szCs w:val="20"/>
          <w:lang w:val="en-US" w:eastAsia="pl-PL"/>
        </w:rPr>
        <w:t>Compilation of 3 publications</w:t>
      </w:r>
    </w:p>
    <w:p w14:paraId="04486A0E" w14:textId="597D9EF7" w:rsidR="0031345D" w:rsidRPr="0064161D" w:rsidRDefault="0031345D" w:rsidP="0064161D">
      <w:pPr>
        <w:spacing w:after="0" w:line="276" w:lineRule="auto"/>
        <w:jc w:val="center"/>
        <w:rPr>
          <w:rFonts w:ascii="Arial" w:hAnsi="Arial" w:cs="Arial"/>
          <w:color w:val="000000"/>
          <w:sz w:val="20"/>
          <w:szCs w:val="20"/>
          <w:lang w:val="en-US"/>
        </w:rPr>
      </w:pPr>
      <w:r w:rsidRPr="0064161D">
        <w:rPr>
          <w:rFonts w:ascii="Arial" w:hAnsi="Arial" w:cs="Arial"/>
          <w:color w:val="000000"/>
          <w:sz w:val="20"/>
          <w:szCs w:val="20"/>
          <w:lang w:val="en-US"/>
        </w:rPr>
        <w:t>Genetically Modified Organisms Controlling Laboratory,</w:t>
      </w:r>
      <w:r w:rsidR="0064161D" w:rsidRPr="0064161D">
        <w:rPr>
          <w:rFonts w:ascii="Arial" w:hAnsi="Arial" w:cs="Arial"/>
          <w:color w:val="000000"/>
          <w:sz w:val="20"/>
          <w:szCs w:val="20"/>
          <w:lang w:val="en-US"/>
        </w:rPr>
        <w:t xml:space="preserve"> </w:t>
      </w:r>
      <w:proofErr w:type="spellStart"/>
      <w:r w:rsidRPr="0064161D">
        <w:rPr>
          <w:rFonts w:ascii="Arial" w:hAnsi="Arial" w:cs="Arial"/>
          <w:color w:val="000000"/>
          <w:sz w:val="20"/>
          <w:szCs w:val="20"/>
          <w:lang w:val="en-US"/>
        </w:rPr>
        <w:t>Radzikow</w:t>
      </w:r>
      <w:proofErr w:type="spellEnd"/>
    </w:p>
    <w:p w14:paraId="7F513105" w14:textId="707D9999" w:rsidR="0031345D" w:rsidRPr="0064161D" w:rsidRDefault="0031345D" w:rsidP="0064161D">
      <w:pPr>
        <w:spacing w:after="0" w:line="276" w:lineRule="auto"/>
        <w:jc w:val="center"/>
        <w:rPr>
          <w:rFonts w:ascii="Arial" w:hAnsi="Arial" w:cs="Arial"/>
          <w:color w:val="000000"/>
          <w:sz w:val="20"/>
          <w:szCs w:val="20"/>
          <w:lang w:val="en-US"/>
        </w:rPr>
      </w:pPr>
      <w:r w:rsidRPr="0064161D">
        <w:rPr>
          <w:rFonts w:ascii="Arial" w:hAnsi="Arial" w:cs="Arial"/>
          <w:color w:val="000000"/>
          <w:sz w:val="20"/>
          <w:szCs w:val="20"/>
          <w:lang w:val="en-US"/>
        </w:rPr>
        <w:t>Thesis supervisor:</w:t>
      </w:r>
      <w:r w:rsidR="0064161D" w:rsidRPr="0064161D">
        <w:rPr>
          <w:rFonts w:ascii="Arial" w:hAnsi="Arial" w:cs="Arial"/>
          <w:color w:val="000000"/>
          <w:sz w:val="20"/>
          <w:szCs w:val="20"/>
          <w:lang w:val="en-US"/>
        </w:rPr>
        <w:t xml:space="preserve">  </w:t>
      </w:r>
      <w:r w:rsidRPr="0064161D">
        <w:rPr>
          <w:rFonts w:ascii="Arial" w:hAnsi="Arial" w:cs="Arial"/>
          <w:color w:val="000000"/>
          <w:sz w:val="20"/>
          <w:szCs w:val="20"/>
          <w:lang w:val="en-US"/>
        </w:rPr>
        <w:t>Janusz Z</w:t>
      </w:r>
      <w:r w:rsidR="004B6FC0">
        <w:rPr>
          <w:rFonts w:ascii="Arial" w:hAnsi="Arial" w:cs="Arial"/>
          <w:color w:val="000000"/>
          <w:sz w:val="20"/>
          <w:szCs w:val="20"/>
          <w:lang w:val="en-US"/>
        </w:rPr>
        <w:t>IMNY</w:t>
      </w:r>
      <w:r w:rsidRPr="0064161D">
        <w:rPr>
          <w:rFonts w:ascii="Arial" w:hAnsi="Arial" w:cs="Arial"/>
          <w:color w:val="000000"/>
          <w:sz w:val="20"/>
          <w:szCs w:val="20"/>
          <w:lang w:val="en-US"/>
        </w:rPr>
        <w:t>, Prof.</w:t>
      </w:r>
    </w:p>
    <w:p w14:paraId="6D3CEFCE" w14:textId="4FD7B560" w:rsidR="0031345D" w:rsidRPr="0064161D" w:rsidRDefault="0031345D" w:rsidP="0064161D">
      <w:pPr>
        <w:spacing w:after="0" w:line="276" w:lineRule="auto"/>
        <w:jc w:val="center"/>
        <w:rPr>
          <w:rFonts w:ascii="Arial" w:hAnsi="Arial" w:cs="Arial"/>
          <w:color w:val="000000"/>
          <w:sz w:val="20"/>
          <w:szCs w:val="20"/>
          <w:lang w:val="en-US"/>
        </w:rPr>
      </w:pPr>
      <w:r w:rsidRPr="0064161D">
        <w:rPr>
          <w:rFonts w:ascii="Arial" w:hAnsi="Arial" w:cs="Arial"/>
          <w:color w:val="000000"/>
          <w:sz w:val="20"/>
          <w:szCs w:val="20"/>
          <w:lang w:val="en-US"/>
        </w:rPr>
        <w:t>Axillary supervisor:</w:t>
      </w:r>
      <w:r w:rsidR="0064161D" w:rsidRPr="0064161D">
        <w:rPr>
          <w:rFonts w:ascii="Arial" w:hAnsi="Arial" w:cs="Arial"/>
          <w:b/>
          <w:bCs/>
          <w:color w:val="000000"/>
          <w:sz w:val="20"/>
          <w:szCs w:val="20"/>
          <w:lang w:val="en-US"/>
        </w:rPr>
        <w:t xml:space="preserve">   </w:t>
      </w:r>
      <w:r w:rsidRPr="0064161D">
        <w:rPr>
          <w:rFonts w:ascii="Arial" w:hAnsi="Arial" w:cs="Arial"/>
          <w:color w:val="000000"/>
          <w:sz w:val="20"/>
          <w:szCs w:val="20"/>
          <w:lang w:val="en-US"/>
        </w:rPr>
        <w:t>Anna M. L</w:t>
      </w:r>
      <w:r w:rsidR="004B6FC0">
        <w:rPr>
          <w:rFonts w:ascii="Arial" w:hAnsi="Arial" w:cs="Arial"/>
          <w:color w:val="000000"/>
          <w:sz w:val="20"/>
          <w:szCs w:val="20"/>
          <w:lang w:val="en-US"/>
        </w:rPr>
        <w:t>INKIEWICZ</w:t>
      </w:r>
      <w:r w:rsidRPr="0064161D">
        <w:rPr>
          <w:rFonts w:ascii="Arial" w:hAnsi="Arial" w:cs="Arial"/>
          <w:color w:val="000000"/>
          <w:sz w:val="20"/>
          <w:szCs w:val="20"/>
          <w:lang w:val="en-US"/>
        </w:rPr>
        <w:t>, PhD</w:t>
      </w:r>
    </w:p>
    <w:p w14:paraId="1A3E4FAF" w14:textId="77777777" w:rsidR="004B6FC0" w:rsidRDefault="004B6FC0" w:rsidP="0064161D">
      <w:pPr>
        <w:spacing w:after="0" w:line="276" w:lineRule="auto"/>
        <w:ind w:firstLine="720"/>
        <w:jc w:val="both"/>
        <w:rPr>
          <w:rFonts w:ascii="Arial" w:hAnsi="Arial" w:cs="Arial"/>
          <w:b/>
          <w:bCs/>
          <w:lang w:val="en-US"/>
        </w:rPr>
      </w:pPr>
    </w:p>
    <w:p w14:paraId="5F8C4000" w14:textId="024E8B30" w:rsidR="0031345D" w:rsidRDefault="0031345D" w:rsidP="004B6FC0">
      <w:pPr>
        <w:spacing w:after="0" w:line="276" w:lineRule="auto"/>
        <w:jc w:val="both"/>
        <w:rPr>
          <w:rFonts w:ascii="Arial" w:hAnsi="Arial" w:cs="Arial"/>
          <w:b/>
          <w:bCs/>
          <w:lang w:val="en-US"/>
        </w:rPr>
      </w:pPr>
      <w:r w:rsidRPr="0064161D">
        <w:rPr>
          <w:rFonts w:ascii="Arial" w:hAnsi="Arial" w:cs="Arial"/>
          <w:b/>
          <w:bCs/>
          <w:lang w:val="en-US"/>
        </w:rPr>
        <w:t>A</w:t>
      </w:r>
      <w:r w:rsidR="0064161D" w:rsidRPr="0064161D">
        <w:rPr>
          <w:rFonts w:ascii="Arial" w:hAnsi="Arial" w:cs="Arial"/>
          <w:b/>
          <w:bCs/>
          <w:lang w:val="en-US"/>
        </w:rPr>
        <w:t xml:space="preserve">BSTRACT </w:t>
      </w:r>
    </w:p>
    <w:p w14:paraId="5EBB729C" w14:textId="77777777" w:rsidR="004B6FC0" w:rsidRPr="0064161D" w:rsidRDefault="004B6FC0" w:rsidP="004B6FC0">
      <w:pPr>
        <w:spacing w:after="0" w:line="276" w:lineRule="auto"/>
        <w:jc w:val="both"/>
        <w:rPr>
          <w:rFonts w:ascii="Arial" w:hAnsi="Arial" w:cs="Arial"/>
          <w:lang w:val="en-US"/>
        </w:rPr>
      </w:pPr>
    </w:p>
    <w:p w14:paraId="2B6B70BD" w14:textId="77777777" w:rsidR="0031345D" w:rsidRPr="0064161D" w:rsidRDefault="0031345D" w:rsidP="0064161D">
      <w:pPr>
        <w:spacing w:after="0" w:line="276" w:lineRule="auto"/>
        <w:ind w:firstLine="720"/>
        <w:jc w:val="both"/>
        <w:rPr>
          <w:rFonts w:ascii="Arial" w:hAnsi="Arial" w:cs="Arial"/>
          <w:lang w:val="en-US"/>
        </w:rPr>
      </w:pPr>
      <w:r w:rsidRPr="0064161D">
        <w:rPr>
          <w:rFonts w:ascii="Arial" w:hAnsi="Arial" w:cs="Arial"/>
          <w:lang w:val="en-US"/>
        </w:rPr>
        <w:t>Pre-harvest sprouting (PHS) is one of the main causes of yield loss in triticale and wheat. Grain affected by PHS loses its nutritional properties and consumption values. The process is caused by the genetic and physiological susceptibility of cultivated cereals to prematurely break the seed dormancy, especially in the event of heavy rainfall before the harvest period. The only effective method of preventing PHS is the cultivation of varieties with a sufficiently long period of seed dormancy, allowing for successful harvesting.</w:t>
      </w:r>
    </w:p>
    <w:p w14:paraId="53D0D2C2" w14:textId="77777777" w:rsidR="0031345D" w:rsidRPr="0064161D" w:rsidRDefault="0031345D" w:rsidP="0064161D">
      <w:pPr>
        <w:spacing w:after="0" w:line="276" w:lineRule="auto"/>
        <w:ind w:firstLine="720"/>
        <w:jc w:val="both"/>
        <w:rPr>
          <w:rFonts w:ascii="Arial" w:hAnsi="Arial" w:cs="Arial"/>
          <w:lang w:val="en-US"/>
        </w:rPr>
      </w:pPr>
      <w:r w:rsidRPr="0064161D">
        <w:rPr>
          <w:rFonts w:ascii="Arial" w:hAnsi="Arial" w:cs="Arial"/>
          <w:lang w:val="en-US"/>
        </w:rPr>
        <w:t xml:space="preserve">With the aim of obtaining new genotypes of triticale with increased resistance to pre-harvest sprouting, it was decided to use a tool of new genomic techniques, i.e. site-specific nucleases, to induce directed mutagenesis in the gene associated with the seed dormancy breaking. Triticale, the cereal with the highest susceptibility to PHS, was selected as the main research object. In this work, two Cas9 nuclease complexes were designed aimed at obtaining a mutation in a specific sequence of the </w:t>
      </w:r>
      <w:r w:rsidRPr="0064161D">
        <w:rPr>
          <w:rFonts w:ascii="Arial" w:hAnsi="Arial" w:cs="Arial"/>
          <w:i/>
          <w:iCs/>
          <w:lang w:val="en-US"/>
        </w:rPr>
        <w:t>TsABA8'OH</w:t>
      </w:r>
      <w:r w:rsidRPr="0064161D">
        <w:rPr>
          <w:rFonts w:ascii="Arial" w:hAnsi="Arial" w:cs="Arial"/>
          <w:lang w:val="en-US"/>
        </w:rPr>
        <w:t xml:space="preserve">-1 gene, the product of which is responsible for the degradation of abscisic acid in kernels. Selected gRNA sequences were assessed </w:t>
      </w:r>
      <w:r w:rsidRPr="0064161D">
        <w:rPr>
          <w:rFonts w:ascii="Arial" w:hAnsi="Arial" w:cs="Arial"/>
          <w:i/>
          <w:iCs/>
          <w:lang w:val="en-US"/>
        </w:rPr>
        <w:t>in silico</w:t>
      </w:r>
      <w:r w:rsidRPr="0064161D">
        <w:rPr>
          <w:rFonts w:ascii="Arial" w:hAnsi="Arial" w:cs="Arial"/>
          <w:lang w:val="en-US"/>
        </w:rPr>
        <w:t xml:space="preserve"> based on the analysis of the 2D structure and specificity toward the selected gene. Next, they were synthesized and their effectiveness assessed using two known </w:t>
      </w:r>
      <w:r w:rsidRPr="0064161D">
        <w:rPr>
          <w:rFonts w:ascii="Arial" w:hAnsi="Arial" w:cs="Arial"/>
          <w:i/>
          <w:iCs/>
          <w:lang w:val="en-US"/>
        </w:rPr>
        <w:t>in vitro</w:t>
      </w:r>
      <w:r w:rsidRPr="0064161D">
        <w:rPr>
          <w:rFonts w:ascii="Arial" w:hAnsi="Arial" w:cs="Arial"/>
          <w:lang w:val="en-US"/>
        </w:rPr>
        <w:t xml:space="preserve"> systems, i.e. transient expression in barley leaves and transfection of triticale protoplasts. Both systems allowed to confirm the activity of the designed gRNA/Cas9 complexes against the selected gene. However, the test based on protoplast transfection did not allow to identify the expected differences in the efficiency of the complexes toward the individual sub-genomes of triticale. Therefore, wheat cell suspensions were used to develop a proprietary system for evaluating the effectiveness of gRNA/Cas9 complexes. The proposed system was designed to counteract the limitations of the method based on transfection of protoplasts, such as the transgene dose effect or differences in chromatin condensation profiles between protoplasts and actively dividing cells. </w:t>
      </w:r>
    </w:p>
    <w:p w14:paraId="0D323CFD" w14:textId="77777777" w:rsidR="0031345D" w:rsidRPr="0064161D" w:rsidRDefault="0031345D" w:rsidP="00BA4CE3">
      <w:pPr>
        <w:spacing w:after="120" w:line="276" w:lineRule="auto"/>
        <w:ind w:firstLine="720"/>
        <w:jc w:val="both"/>
        <w:rPr>
          <w:rFonts w:ascii="Arial" w:hAnsi="Arial" w:cs="Arial"/>
          <w:lang w:val="en-US"/>
        </w:rPr>
      </w:pPr>
      <w:r w:rsidRPr="0064161D">
        <w:rPr>
          <w:rFonts w:ascii="Arial" w:hAnsi="Arial" w:cs="Arial"/>
          <w:lang w:val="en-US"/>
        </w:rPr>
        <w:t xml:space="preserve">In the course of this work, a number of additional observations were made, deepening the state of knowledge in the field of directed mutagenesis and genetics of triticale. A strong, positive effect of TREX2 exonuclease on the efficiency of gRNA/Cas9 complexes was observed. Sequences of all </w:t>
      </w:r>
      <w:proofErr w:type="spellStart"/>
      <w:r w:rsidRPr="0064161D">
        <w:rPr>
          <w:rFonts w:ascii="Arial" w:hAnsi="Arial" w:cs="Arial"/>
          <w:lang w:val="en-US"/>
        </w:rPr>
        <w:t>homeoalleles</w:t>
      </w:r>
      <w:proofErr w:type="spellEnd"/>
      <w:r w:rsidRPr="0064161D">
        <w:rPr>
          <w:rFonts w:ascii="Arial" w:hAnsi="Arial" w:cs="Arial"/>
          <w:lang w:val="en-US"/>
        </w:rPr>
        <w:t xml:space="preserve"> of the </w:t>
      </w:r>
      <w:r w:rsidRPr="0064161D">
        <w:rPr>
          <w:rFonts w:ascii="Arial" w:hAnsi="Arial" w:cs="Arial"/>
          <w:i/>
          <w:iCs/>
          <w:lang w:val="en-US"/>
        </w:rPr>
        <w:t>TsABA8'OH</w:t>
      </w:r>
      <w:r w:rsidRPr="0064161D">
        <w:rPr>
          <w:rFonts w:ascii="Arial" w:hAnsi="Arial" w:cs="Arial"/>
          <w:lang w:val="en-US"/>
        </w:rPr>
        <w:t>-1 gene in triticale cv. Bogo were also identified. The collected findings were published in the form of two original papers and two subchapters in a review collective work.</w:t>
      </w:r>
    </w:p>
    <w:p w14:paraId="6DB170D1" w14:textId="77777777" w:rsidR="004B6FC0" w:rsidRDefault="004B6FC0">
      <w:pPr>
        <w:rPr>
          <w:rFonts w:ascii="Arial" w:hAnsi="Arial" w:cs="Arial"/>
          <w:b/>
          <w:bCs/>
        </w:rPr>
      </w:pPr>
      <w:r>
        <w:rPr>
          <w:rFonts w:ascii="Arial" w:hAnsi="Arial" w:cs="Arial"/>
          <w:b/>
          <w:bCs/>
        </w:rPr>
        <w:br w:type="page"/>
      </w:r>
    </w:p>
    <w:p w14:paraId="3A8169F7" w14:textId="77777777" w:rsidR="004B6FC0" w:rsidRDefault="004B6FC0" w:rsidP="004B6FC0">
      <w:pPr>
        <w:spacing w:after="120" w:line="240" w:lineRule="auto"/>
        <w:jc w:val="center"/>
        <w:rPr>
          <w:rFonts w:ascii="Arial" w:hAnsi="Arial" w:cs="Arial"/>
          <w:b/>
          <w:bCs/>
        </w:rPr>
      </w:pPr>
    </w:p>
    <w:p w14:paraId="33692393" w14:textId="4B41E881" w:rsidR="0031345D" w:rsidRPr="00735A10" w:rsidRDefault="00BA4CE3" w:rsidP="004B6FC0">
      <w:pPr>
        <w:spacing w:after="120" w:line="240" w:lineRule="auto"/>
        <w:jc w:val="center"/>
        <w:rPr>
          <w:rFonts w:ascii="Arial" w:hAnsi="Arial" w:cs="Arial"/>
          <w:b/>
          <w:bCs/>
          <w:sz w:val="20"/>
          <w:szCs w:val="20"/>
        </w:rPr>
      </w:pPr>
      <w:r w:rsidRPr="00735A10">
        <w:rPr>
          <w:rFonts w:ascii="Arial" w:hAnsi="Arial" w:cs="Arial"/>
          <w:b/>
          <w:bCs/>
          <w:sz w:val="20"/>
          <w:szCs w:val="20"/>
        </w:rPr>
        <w:t xml:space="preserve">Publications list. </w:t>
      </w:r>
      <w:r w:rsidR="0031345D" w:rsidRPr="00735A10">
        <w:rPr>
          <w:rFonts w:ascii="Arial" w:hAnsi="Arial" w:cs="Arial"/>
          <w:b/>
          <w:bCs/>
          <w:sz w:val="20"/>
          <w:szCs w:val="20"/>
        </w:rPr>
        <w:t>Wykaz publikacji wchodzących w skład rozprawy doktorskiej</w:t>
      </w:r>
      <w:r w:rsidRPr="00735A10">
        <w:rPr>
          <w:rFonts w:ascii="Arial" w:hAnsi="Arial" w:cs="Arial"/>
          <w:b/>
          <w:bCs/>
          <w:sz w:val="20"/>
          <w:szCs w:val="20"/>
        </w:rPr>
        <w:t>:</w:t>
      </w:r>
    </w:p>
    <w:p w14:paraId="22419128" w14:textId="77777777" w:rsidR="00735A10" w:rsidRPr="004B6FC0" w:rsidRDefault="00735A10" w:rsidP="004B6FC0">
      <w:pPr>
        <w:spacing w:after="120" w:line="240" w:lineRule="auto"/>
        <w:jc w:val="center"/>
        <w:rPr>
          <w:rFonts w:ascii="Arial" w:hAnsi="Arial" w:cs="Arial"/>
          <w:b/>
          <w:bCs/>
        </w:rPr>
      </w:pPr>
    </w:p>
    <w:p w14:paraId="1ECB8AC8" w14:textId="071BE4F4" w:rsidR="004B6FC0" w:rsidRDefault="0031345D" w:rsidP="004B6FC0">
      <w:pPr>
        <w:pStyle w:val="Akapitzlist"/>
        <w:numPr>
          <w:ilvl w:val="0"/>
          <w:numId w:val="4"/>
        </w:numPr>
        <w:spacing w:after="0" w:line="240" w:lineRule="auto"/>
        <w:ind w:left="357"/>
        <w:jc w:val="both"/>
        <w:rPr>
          <w:rFonts w:ascii="Arial" w:hAnsi="Arial" w:cs="Arial"/>
          <w:lang w:val="en-US"/>
        </w:rPr>
      </w:pPr>
      <w:r w:rsidRPr="004B6FC0">
        <w:rPr>
          <w:rFonts w:ascii="Arial" w:hAnsi="Arial" w:cs="Arial"/>
          <w:b/>
          <w:bCs/>
          <w:lang w:val="en-GB"/>
        </w:rPr>
        <w:t>Michalski, K</w:t>
      </w:r>
      <w:r w:rsidRPr="004B6FC0">
        <w:rPr>
          <w:rFonts w:ascii="Arial" w:hAnsi="Arial" w:cs="Arial"/>
          <w:lang w:val="en-GB"/>
        </w:rPr>
        <w:t xml:space="preserve">.; </w:t>
      </w:r>
      <w:proofErr w:type="spellStart"/>
      <w:r w:rsidRPr="004B6FC0">
        <w:rPr>
          <w:rFonts w:ascii="Arial" w:hAnsi="Arial" w:cs="Arial"/>
          <w:lang w:val="en-GB"/>
        </w:rPr>
        <w:t>Hertig</w:t>
      </w:r>
      <w:proofErr w:type="spellEnd"/>
      <w:r w:rsidRPr="004B6FC0">
        <w:rPr>
          <w:rFonts w:ascii="Arial" w:hAnsi="Arial" w:cs="Arial"/>
          <w:lang w:val="en-GB"/>
        </w:rPr>
        <w:t xml:space="preserve">, C.; Mańkowski, D.R.; </w:t>
      </w:r>
      <w:proofErr w:type="spellStart"/>
      <w:r w:rsidRPr="004B6FC0">
        <w:rPr>
          <w:rFonts w:ascii="Arial" w:hAnsi="Arial" w:cs="Arial"/>
          <w:lang w:val="en-GB"/>
        </w:rPr>
        <w:t>Kumlehn</w:t>
      </w:r>
      <w:proofErr w:type="spellEnd"/>
      <w:r w:rsidRPr="004B6FC0">
        <w:rPr>
          <w:rFonts w:ascii="Arial" w:hAnsi="Arial" w:cs="Arial"/>
          <w:lang w:val="en-GB"/>
        </w:rPr>
        <w:t xml:space="preserve">, J.; Zimny, J.; Linkiewicz, A.M. </w:t>
      </w:r>
      <w:r w:rsidRPr="004B6FC0">
        <w:rPr>
          <w:rFonts w:ascii="Arial" w:hAnsi="Arial" w:cs="Arial"/>
          <w:b/>
          <w:bCs/>
          <w:lang w:val="en-GB"/>
        </w:rPr>
        <w:t>Functional Validation of Cas9/</w:t>
      </w:r>
      <w:proofErr w:type="spellStart"/>
      <w:r w:rsidRPr="004B6FC0">
        <w:rPr>
          <w:rFonts w:ascii="Arial" w:hAnsi="Arial" w:cs="Arial"/>
          <w:b/>
          <w:bCs/>
          <w:lang w:val="en-GB"/>
        </w:rPr>
        <w:t>guideRNA</w:t>
      </w:r>
      <w:proofErr w:type="spellEnd"/>
      <w:r w:rsidRPr="004B6FC0">
        <w:rPr>
          <w:rFonts w:ascii="Arial" w:hAnsi="Arial" w:cs="Arial"/>
          <w:b/>
          <w:bCs/>
          <w:lang w:val="en-GB"/>
        </w:rPr>
        <w:t xml:space="preserve"> Constructs for Site-Directed Mutagenesis of Triticale ABA8′OH1 loci</w:t>
      </w:r>
      <w:r w:rsidRPr="004B6FC0">
        <w:rPr>
          <w:rFonts w:ascii="Arial" w:hAnsi="Arial" w:cs="Arial"/>
          <w:lang w:val="en-GB"/>
        </w:rPr>
        <w:t xml:space="preserve">. </w:t>
      </w:r>
      <w:r w:rsidRPr="004B6FC0">
        <w:rPr>
          <w:rFonts w:ascii="Arial" w:hAnsi="Arial" w:cs="Arial"/>
          <w:i/>
          <w:iCs/>
          <w:lang w:val="en-US"/>
        </w:rPr>
        <w:t>Int. J. Mol. Sci</w:t>
      </w:r>
      <w:r w:rsidRPr="004B6FC0">
        <w:rPr>
          <w:rFonts w:ascii="Arial" w:hAnsi="Arial" w:cs="Arial"/>
          <w:lang w:val="en-US"/>
        </w:rPr>
        <w:t xml:space="preserve">. 2021, 22, 7038. </w:t>
      </w:r>
      <w:proofErr w:type="spellStart"/>
      <w:r w:rsidRPr="004B6FC0">
        <w:rPr>
          <w:rFonts w:ascii="Arial" w:hAnsi="Arial" w:cs="Arial"/>
          <w:lang w:val="en-US"/>
        </w:rPr>
        <w:t>doi</w:t>
      </w:r>
      <w:proofErr w:type="spellEnd"/>
      <w:r w:rsidRPr="004B6FC0">
        <w:rPr>
          <w:rFonts w:ascii="Arial" w:hAnsi="Arial" w:cs="Arial"/>
          <w:lang w:val="en-US"/>
        </w:rPr>
        <w:t>:</w:t>
      </w:r>
      <w:r w:rsidR="00735A10">
        <w:rPr>
          <w:rFonts w:ascii="Arial" w:hAnsi="Arial" w:cs="Arial"/>
          <w:lang w:val="en-US"/>
        </w:rPr>
        <w:t xml:space="preserve"> </w:t>
      </w:r>
      <w:r w:rsidRPr="004B6FC0">
        <w:rPr>
          <w:rFonts w:ascii="Arial" w:hAnsi="Arial" w:cs="Arial"/>
          <w:lang w:val="en-US"/>
        </w:rPr>
        <w:t>10.3390/ijms22137038</w:t>
      </w:r>
    </w:p>
    <w:p w14:paraId="70005512" w14:textId="4304E97B" w:rsidR="00BA4CE3" w:rsidRPr="004B6FC0" w:rsidRDefault="004B6FC0" w:rsidP="004B6FC0">
      <w:pPr>
        <w:spacing w:after="0" w:line="240" w:lineRule="auto"/>
        <w:ind w:left="-3"/>
        <w:jc w:val="both"/>
        <w:rPr>
          <w:rFonts w:ascii="Arial" w:hAnsi="Arial" w:cs="Arial"/>
          <w:lang w:val="en-US"/>
        </w:rPr>
      </w:pPr>
      <w:r>
        <w:rPr>
          <w:rFonts w:ascii="Arial" w:hAnsi="Arial" w:cs="Arial"/>
          <w:lang w:val="en-US"/>
        </w:rPr>
        <w:t xml:space="preserve">                                                                           </w:t>
      </w:r>
      <w:r w:rsidR="0064161D" w:rsidRPr="004B6FC0">
        <w:rPr>
          <w:rFonts w:ascii="Arial" w:hAnsi="Arial" w:cs="Arial"/>
          <w:lang w:val="en-US"/>
        </w:rPr>
        <w:t xml:space="preserve"> </w:t>
      </w:r>
      <w:r w:rsidR="00BA4CE3" w:rsidRPr="004B6FC0">
        <w:rPr>
          <w:rFonts w:ascii="Arial" w:hAnsi="Arial" w:cs="Arial"/>
          <w:lang w:val="en-US"/>
        </w:rPr>
        <w:t xml:space="preserve">        140 pkt </w:t>
      </w:r>
      <w:proofErr w:type="spellStart"/>
      <w:r w:rsidR="00BA4CE3" w:rsidRPr="004B6FC0">
        <w:rPr>
          <w:rFonts w:ascii="Arial" w:hAnsi="Arial" w:cs="Arial"/>
          <w:lang w:val="en-US"/>
        </w:rPr>
        <w:t>MEiN</w:t>
      </w:r>
      <w:proofErr w:type="spellEnd"/>
      <w:r w:rsidR="00BA4CE3" w:rsidRPr="004B6FC0">
        <w:rPr>
          <w:rFonts w:ascii="Arial" w:hAnsi="Arial" w:cs="Arial"/>
          <w:lang w:val="en-US"/>
        </w:rPr>
        <w:t xml:space="preserve">   IF</w:t>
      </w:r>
      <w:r w:rsidR="00BA4CE3" w:rsidRPr="004B6FC0">
        <w:rPr>
          <w:rFonts w:ascii="Arial" w:hAnsi="Arial" w:cs="Arial"/>
          <w:vertAlign w:val="subscript"/>
          <w:lang w:val="en-US"/>
        </w:rPr>
        <w:t xml:space="preserve">2021 </w:t>
      </w:r>
      <w:r w:rsidR="00BA4CE3" w:rsidRPr="004B6FC0">
        <w:rPr>
          <w:rFonts w:ascii="Arial" w:hAnsi="Arial" w:cs="Arial"/>
          <w:lang w:val="en-US"/>
        </w:rPr>
        <w:t>5,924  IF</w:t>
      </w:r>
      <w:r w:rsidR="00BA4CE3" w:rsidRPr="004B6FC0">
        <w:rPr>
          <w:rFonts w:ascii="Arial" w:hAnsi="Arial" w:cs="Arial"/>
          <w:vertAlign w:val="subscript"/>
          <w:lang w:val="en-US"/>
        </w:rPr>
        <w:t>5-letni</w:t>
      </w:r>
      <w:r w:rsidR="00BA4CE3" w:rsidRPr="004B6FC0">
        <w:rPr>
          <w:rFonts w:ascii="Arial" w:hAnsi="Arial" w:cs="Arial"/>
          <w:lang w:val="en-US"/>
        </w:rPr>
        <w:t xml:space="preserve"> 6,628</w:t>
      </w:r>
      <w:bookmarkStart w:id="1" w:name="_Hlk136171576"/>
    </w:p>
    <w:p w14:paraId="370BEC0A" w14:textId="1F11268B" w:rsidR="0031345D" w:rsidRPr="004B6FC0" w:rsidRDefault="0064161D" w:rsidP="004B6FC0">
      <w:pPr>
        <w:spacing w:after="0" w:line="240" w:lineRule="auto"/>
        <w:ind w:left="357"/>
        <w:jc w:val="both"/>
        <w:rPr>
          <w:rFonts w:ascii="Arial" w:hAnsi="Arial" w:cs="Arial"/>
          <w:lang w:val="en-US"/>
        </w:rPr>
      </w:pPr>
      <w:r w:rsidRPr="004B6FC0">
        <w:rPr>
          <w:rFonts w:ascii="Arial" w:hAnsi="Arial" w:cs="Arial"/>
          <w:lang w:val="en-US"/>
        </w:rPr>
        <w:t xml:space="preserve">                                                                               </w:t>
      </w:r>
      <w:r w:rsidR="00BA4CE3" w:rsidRPr="004B6FC0">
        <w:rPr>
          <w:rFonts w:ascii="Arial" w:hAnsi="Arial" w:cs="Arial"/>
          <w:lang w:val="en-US"/>
        </w:rPr>
        <w:t xml:space="preserve">               </w:t>
      </w:r>
      <w:bookmarkEnd w:id="1"/>
    </w:p>
    <w:p w14:paraId="2E33B4B1" w14:textId="542B083B" w:rsidR="004B6FC0" w:rsidRDefault="0031345D" w:rsidP="004B6FC0">
      <w:pPr>
        <w:pStyle w:val="Akapitzlist"/>
        <w:numPr>
          <w:ilvl w:val="0"/>
          <w:numId w:val="4"/>
        </w:numPr>
        <w:spacing w:after="0" w:line="240" w:lineRule="auto"/>
        <w:ind w:left="357"/>
        <w:jc w:val="both"/>
        <w:rPr>
          <w:rFonts w:ascii="Arial" w:hAnsi="Arial" w:cs="Arial"/>
          <w:lang w:val="en-US"/>
        </w:rPr>
      </w:pPr>
      <w:r w:rsidRPr="004B6FC0">
        <w:rPr>
          <w:rFonts w:ascii="Arial" w:hAnsi="Arial" w:cs="Arial"/>
          <w:b/>
          <w:bCs/>
          <w:lang w:val="en-GB"/>
        </w:rPr>
        <w:t>Michalski, K</w:t>
      </w:r>
      <w:r w:rsidRPr="004B6FC0">
        <w:rPr>
          <w:rFonts w:ascii="Arial" w:hAnsi="Arial" w:cs="Arial"/>
          <w:lang w:val="en-GB"/>
        </w:rPr>
        <w:t xml:space="preserve">.; </w:t>
      </w:r>
      <w:proofErr w:type="spellStart"/>
      <w:r w:rsidRPr="004B6FC0">
        <w:rPr>
          <w:rFonts w:ascii="Arial" w:hAnsi="Arial" w:cs="Arial"/>
          <w:lang w:val="en-GB"/>
        </w:rPr>
        <w:t>Ziąbska</w:t>
      </w:r>
      <w:proofErr w:type="spellEnd"/>
      <w:r w:rsidRPr="004B6FC0">
        <w:rPr>
          <w:rFonts w:ascii="Arial" w:hAnsi="Arial" w:cs="Arial"/>
          <w:lang w:val="en-GB"/>
        </w:rPr>
        <w:t xml:space="preserve">, P.; Sowa, S.; Zimny, J.; Linkiewicz, A.M. </w:t>
      </w:r>
      <w:r w:rsidRPr="004B6FC0">
        <w:rPr>
          <w:rFonts w:ascii="Arial" w:hAnsi="Arial" w:cs="Arial"/>
          <w:b/>
          <w:bCs/>
          <w:lang w:val="en-GB"/>
        </w:rPr>
        <w:t>Evaluation of CRISPR/Cas9 Constructs in Wheat Cell Suspension Cultures</w:t>
      </w:r>
      <w:r w:rsidRPr="004B6FC0">
        <w:rPr>
          <w:rFonts w:ascii="Arial" w:hAnsi="Arial" w:cs="Arial"/>
          <w:lang w:val="en-GB"/>
        </w:rPr>
        <w:t xml:space="preserve">. </w:t>
      </w:r>
      <w:r w:rsidRPr="004B6FC0">
        <w:rPr>
          <w:rFonts w:ascii="Arial" w:hAnsi="Arial" w:cs="Arial"/>
          <w:i/>
          <w:iCs/>
          <w:lang w:val="en-US"/>
        </w:rPr>
        <w:t>Int. J. Mol. Sci</w:t>
      </w:r>
      <w:r w:rsidRPr="004B6FC0">
        <w:rPr>
          <w:rFonts w:ascii="Arial" w:hAnsi="Arial" w:cs="Arial"/>
          <w:lang w:val="en-US"/>
        </w:rPr>
        <w:t>. 2023, 24, 2162.</w:t>
      </w:r>
      <w:r w:rsidR="00BA4CE3" w:rsidRPr="004B6FC0">
        <w:rPr>
          <w:rFonts w:ascii="Arial" w:hAnsi="Arial" w:cs="Arial"/>
          <w:lang w:val="en-US"/>
        </w:rPr>
        <w:t xml:space="preserve"> </w:t>
      </w:r>
      <w:proofErr w:type="spellStart"/>
      <w:r w:rsidRPr="004B6FC0">
        <w:rPr>
          <w:rFonts w:ascii="Arial" w:hAnsi="Arial" w:cs="Arial"/>
          <w:lang w:val="en-US"/>
        </w:rPr>
        <w:t>doi</w:t>
      </w:r>
      <w:proofErr w:type="spellEnd"/>
      <w:r w:rsidRPr="004B6FC0">
        <w:rPr>
          <w:rFonts w:ascii="Arial" w:hAnsi="Arial" w:cs="Arial"/>
          <w:lang w:val="en-US"/>
        </w:rPr>
        <w:t>:</w:t>
      </w:r>
      <w:r w:rsidR="00735A10">
        <w:rPr>
          <w:rFonts w:ascii="Arial" w:hAnsi="Arial" w:cs="Arial"/>
          <w:lang w:val="en-US"/>
        </w:rPr>
        <w:t xml:space="preserve"> </w:t>
      </w:r>
      <w:r w:rsidRPr="004B6FC0">
        <w:rPr>
          <w:rFonts w:ascii="Arial" w:hAnsi="Arial" w:cs="Arial"/>
          <w:lang w:val="en-US"/>
        </w:rPr>
        <w:t>10.3390/ijms24032162</w:t>
      </w:r>
      <w:r w:rsidR="0064161D" w:rsidRPr="004B6FC0">
        <w:rPr>
          <w:rFonts w:ascii="Arial" w:hAnsi="Arial" w:cs="Arial"/>
          <w:lang w:val="en-US"/>
        </w:rPr>
        <w:t xml:space="preserve">                                      </w:t>
      </w:r>
      <w:r w:rsidR="00BA4CE3" w:rsidRPr="004B6FC0">
        <w:rPr>
          <w:rFonts w:ascii="Arial" w:hAnsi="Arial" w:cs="Arial"/>
          <w:lang w:val="en-US"/>
        </w:rPr>
        <w:t xml:space="preserve">                </w:t>
      </w:r>
    </w:p>
    <w:p w14:paraId="253E89F8" w14:textId="05138A9E" w:rsidR="0031345D" w:rsidRPr="004B6FC0" w:rsidRDefault="004B6FC0" w:rsidP="004B6FC0">
      <w:pPr>
        <w:spacing w:after="0" w:line="240" w:lineRule="auto"/>
        <w:ind w:left="-3"/>
        <w:jc w:val="both"/>
        <w:rPr>
          <w:rFonts w:ascii="Arial" w:hAnsi="Arial" w:cs="Arial"/>
          <w:lang w:val="en-US"/>
        </w:rPr>
      </w:pPr>
      <w:r>
        <w:rPr>
          <w:rFonts w:ascii="Arial" w:hAnsi="Arial" w:cs="Arial"/>
          <w:lang w:val="en-US"/>
        </w:rPr>
        <w:t xml:space="preserve">                                                                              </w:t>
      </w:r>
      <w:r w:rsidR="00735A10">
        <w:rPr>
          <w:rFonts w:ascii="Arial" w:hAnsi="Arial" w:cs="Arial"/>
          <w:lang w:val="en-US"/>
        </w:rPr>
        <w:t xml:space="preserve">     </w:t>
      </w:r>
      <w:r>
        <w:rPr>
          <w:rFonts w:ascii="Arial" w:hAnsi="Arial" w:cs="Arial"/>
          <w:lang w:val="en-US"/>
        </w:rPr>
        <w:t xml:space="preserve"> </w:t>
      </w:r>
      <w:r w:rsidR="0031345D" w:rsidRPr="004B6FC0">
        <w:rPr>
          <w:rFonts w:ascii="Arial" w:hAnsi="Arial" w:cs="Arial"/>
          <w:lang w:val="en-US"/>
        </w:rPr>
        <w:t xml:space="preserve">140 pkt </w:t>
      </w:r>
      <w:proofErr w:type="spellStart"/>
      <w:r w:rsidR="0031345D" w:rsidRPr="004B6FC0">
        <w:rPr>
          <w:rFonts w:ascii="Arial" w:hAnsi="Arial" w:cs="Arial"/>
          <w:lang w:val="en-US"/>
        </w:rPr>
        <w:t>MEiN</w:t>
      </w:r>
      <w:proofErr w:type="spellEnd"/>
      <w:r w:rsidR="0064161D" w:rsidRPr="004B6FC0">
        <w:rPr>
          <w:rFonts w:ascii="Arial" w:hAnsi="Arial" w:cs="Arial"/>
          <w:lang w:val="en-US"/>
        </w:rPr>
        <w:t xml:space="preserve"> </w:t>
      </w:r>
      <w:r w:rsidR="00735A10">
        <w:rPr>
          <w:rFonts w:ascii="Arial" w:hAnsi="Arial" w:cs="Arial"/>
          <w:lang w:val="en-US"/>
        </w:rPr>
        <w:t xml:space="preserve">   </w:t>
      </w:r>
      <w:r w:rsidR="0031345D" w:rsidRPr="004B6FC0">
        <w:rPr>
          <w:rFonts w:ascii="Arial" w:hAnsi="Arial" w:cs="Arial"/>
          <w:lang w:val="en-US"/>
        </w:rPr>
        <w:t>IF</w:t>
      </w:r>
      <w:r w:rsidR="0031345D" w:rsidRPr="004B6FC0">
        <w:rPr>
          <w:rFonts w:ascii="Arial" w:hAnsi="Arial" w:cs="Arial"/>
          <w:vertAlign w:val="subscript"/>
          <w:lang w:val="en-US"/>
        </w:rPr>
        <w:t>2023</w:t>
      </w:r>
      <w:r w:rsidR="0031345D" w:rsidRPr="004B6FC0">
        <w:rPr>
          <w:rFonts w:ascii="Arial" w:hAnsi="Arial" w:cs="Arial"/>
          <w:lang w:val="en-US"/>
        </w:rPr>
        <w:t xml:space="preserve"> 6,208</w:t>
      </w:r>
      <w:r w:rsidR="0064161D" w:rsidRPr="004B6FC0">
        <w:rPr>
          <w:rFonts w:ascii="Arial" w:hAnsi="Arial" w:cs="Arial"/>
          <w:lang w:val="en-US"/>
        </w:rPr>
        <w:t xml:space="preserve">   </w:t>
      </w:r>
      <w:r w:rsidR="0031345D" w:rsidRPr="004B6FC0">
        <w:rPr>
          <w:rFonts w:ascii="Arial" w:hAnsi="Arial" w:cs="Arial"/>
          <w:lang w:val="en-US"/>
        </w:rPr>
        <w:t>IF</w:t>
      </w:r>
      <w:r w:rsidR="0031345D" w:rsidRPr="004B6FC0">
        <w:rPr>
          <w:rFonts w:ascii="Arial" w:hAnsi="Arial" w:cs="Arial"/>
          <w:vertAlign w:val="subscript"/>
          <w:lang w:val="en-US"/>
        </w:rPr>
        <w:t>5-letni</w:t>
      </w:r>
      <w:r w:rsidR="0031345D" w:rsidRPr="004B6FC0">
        <w:rPr>
          <w:rFonts w:ascii="Arial" w:hAnsi="Arial" w:cs="Arial"/>
          <w:lang w:val="en-US"/>
        </w:rPr>
        <w:t xml:space="preserve"> 6,628</w:t>
      </w:r>
    </w:p>
    <w:p w14:paraId="032AA8C3" w14:textId="77777777" w:rsidR="00BA4CE3" w:rsidRPr="004B6FC0" w:rsidRDefault="00BA4CE3" w:rsidP="004B6FC0">
      <w:pPr>
        <w:pStyle w:val="Akapitzlist"/>
        <w:ind w:left="357"/>
        <w:rPr>
          <w:rFonts w:ascii="Arial" w:hAnsi="Arial" w:cs="Arial"/>
          <w:lang w:val="en-US"/>
        </w:rPr>
      </w:pPr>
    </w:p>
    <w:p w14:paraId="61F812E1" w14:textId="77777777" w:rsidR="00735A10" w:rsidRDefault="0031345D" w:rsidP="004B6FC0">
      <w:pPr>
        <w:pStyle w:val="Akapitzlist"/>
        <w:numPr>
          <w:ilvl w:val="0"/>
          <w:numId w:val="4"/>
        </w:numPr>
        <w:spacing w:after="0" w:line="240" w:lineRule="auto"/>
        <w:ind w:left="357"/>
        <w:jc w:val="both"/>
        <w:rPr>
          <w:rFonts w:ascii="Arial" w:hAnsi="Arial" w:cs="Arial"/>
          <w:lang w:val="en-GB"/>
        </w:rPr>
      </w:pPr>
      <w:r w:rsidRPr="004B6FC0">
        <w:rPr>
          <w:rFonts w:ascii="Arial" w:hAnsi="Arial" w:cs="Arial"/>
          <w:lang w:val="en-GB"/>
        </w:rPr>
        <w:t xml:space="preserve">Cardi T., </w:t>
      </w:r>
      <w:proofErr w:type="spellStart"/>
      <w:r w:rsidRPr="004B6FC0">
        <w:rPr>
          <w:rFonts w:ascii="Arial" w:hAnsi="Arial" w:cs="Arial"/>
          <w:lang w:val="en-GB"/>
        </w:rPr>
        <w:t>Murovec</w:t>
      </w:r>
      <w:proofErr w:type="spellEnd"/>
      <w:r w:rsidRPr="004B6FC0">
        <w:rPr>
          <w:rFonts w:ascii="Arial" w:hAnsi="Arial" w:cs="Arial"/>
          <w:lang w:val="en-GB"/>
        </w:rPr>
        <w:t xml:space="preserve"> J, Bakhsh A, </w:t>
      </w:r>
      <w:proofErr w:type="spellStart"/>
      <w:r w:rsidRPr="004B6FC0">
        <w:rPr>
          <w:rFonts w:ascii="Arial" w:hAnsi="Arial" w:cs="Arial"/>
          <w:lang w:val="en-GB"/>
        </w:rPr>
        <w:t>Boniecka</w:t>
      </w:r>
      <w:proofErr w:type="spellEnd"/>
      <w:r w:rsidRPr="004B6FC0">
        <w:rPr>
          <w:rFonts w:ascii="Arial" w:hAnsi="Arial" w:cs="Arial"/>
          <w:lang w:val="en-GB"/>
        </w:rPr>
        <w:t xml:space="preserve"> J, </w:t>
      </w:r>
      <w:proofErr w:type="spellStart"/>
      <w:r w:rsidRPr="004B6FC0">
        <w:rPr>
          <w:rFonts w:ascii="Arial" w:hAnsi="Arial" w:cs="Arial"/>
          <w:lang w:val="en-GB"/>
        </w:rPr>
        <w:t>Bruegmann</w:t>
      </w:r>
      <w:proofErr w:type="spellEnd"/>
      <w:r w:rsidRPr="004B6FC0">
        <w:rPr>
          <w:rFonts w:ascii="Arial" w:hAnsi="Arial" w:cs="Arial"/>
          <w:lang w:val="en-GB"/>
        </w:rPr>
        <w:t xml:space="preserve"> T, Bull SE, </w:t>
      </w:r>
      <w:proofErr w:type="spellStart"/>
      <w:r w:rsidRPr="004B6FC0">
        <w:rPr>
          <w:rFonts w:ascii="Arial" w:hAnsi="Arial" w:cs="Arial"/>
          <w:lang w:val="en-GB"/>
        </w:rPr>
        <w:t>Eeckhaut</w:t>
      </w:r>
      <w:proofErr w:type="spellEnd"/>
      <w:r w:rsidRPr="004B6FC0">
        <w:rPr>
          <w:rFonts w:ascii="Arial" w:hAnsi="Arial" w:cs="Arial"/>
          <w:lang w:val="en-GB"/>
        </w:rPr>
        <w:t xml:space="preserve"> T, </w:t>
      </w:r>
      <w:proofErr w:type="spellStart"/>
      <w:r w:rsidRPr="004B6FC0">
        <w:rPr>
          <w:rFonts w:ascii="Arial" w:hAnsi="Arial" w:cs="Arial"/>
          <w:lang w:val="en-GB"/>
        </w:rPr>
        <w:t>Fladung</w:t>
      </w:r>
      <w:proofErr w:type="spellEnd"/>
      <w:r w:rsidRPr="004B6FC0">
        <w:rPr>
          <w:rFonts w:ascii="Arial" w:hAnsi="Arial" w:cs="Arial"/>
          <w:lang w:val="en-GB"/>
        </w:rPr>
        <w:t xml:space="preserve"> M, </w:t>
      </w:r>
      <w:proofErr w:type="spellStart"/>
      <w:r w:rsidRPr="004B6FC0">
        <w:rPr>
          <w:rFonts w:ascii="Arial" w:hAnsi="Arial" w:cs="Arial"/>
          <w:lang w:val="en-GB"/>
        </w:rPr>
        <w:t>Galovic</w:t>
      </w:r>
      <w:proofErr w:type="spellEnd"/>
      <w:r w:rsidRPr="004B6FC0">
        <w:rPr>
          <w:rFonts w:ascii="Arial" w:hAnsi="Arial" w:cs="Arial"/>
          <w:lang w:val="en-GB"/>
        </w:rPr>
        <w:t xml:space="preserve"> V, Linkiewicz A, Lukan T, </w:t>
      </w:r>
      <w:proofErr w:type="spellStart"/>
      <w:r w:rsidRPr="004B6FC0">
        <w:rPr>
          <w:rFonts w:ascii="Arial" w:hAnsi="Arial" w:cs="Arial"/>
          <w:lang w:val="en-GB"/>
        </w:rPr>
        <w:t>Mafra</w:t>
      </w:r>
      <w:proofErr w:type="spellEnd"/>
      <w:r w:rsidRPr="004B6FC0">
        <w:rPr>
          <w:rFonts w:ascii="Arial" w:hAnsi="Arial" w:cs="Arial"/>
          <w:lang w:val="en-GB"/>
        </w:rPr>
        <w:t xml:space="preserve"> I, </w:t>
      </w:r>
      <w:r w:rsidRPr="004B6FC0">
        <w:rPr>
          <w:rFonts w:ascii="Arial" w:hAnsi="Arial" w:cs="Arial"/>
          <w:b/>
          <w:bCs/>
          <w:lang w:val="en-GB"/>
        </w:rPr>
        <w:t>Michalski K</w:t>
      </w:r>
      <w:r w:rsidRPr="004B6FC0">
        <w:rPr>
          <w:rFonts w:ascii="Arial" w:hAnsi="Arial" w:cs="Arial"/>
          <w:lang w:val="en-GB"/>
        </w:rPr>
        <w:t xml:space="preserve">, Kavas M, </w:t>
      </w:r>
      <w:proofErr w:type="spellStart"/>
      <w:r w:rsidRPr="004B6FC0">
        <w:rPr>
          <w:rFonts w:ascii="Arial" w:hAnsi="Arial" w:cs="Arial"/>
          <w:lang w:val="en-GB"/>
        </w:rPr>
        <w:t>Nicolia</w:t>
      </w:r>
      <w:proofErr w:type="spellEnd"/>
      <w:r w:rsidRPr="004B6FC0">
        <w:rPr>
          <w:rFonts w:ascii="Arial" w:hAnsi="Arial" w:cs="Arial"/>
          <w:lang w:val="en-GB"/>
        </w:rPr>
        <w:t xml:space="preserve"> A, </w:t>
      </w:r>
      <w:proofErr w:type="spellStart"/>
      <w:r w:rsidRPr="004B6FC0">
        <w:rPr>
          <w:rFonts w:ascii="Arial" w:hAnsi="Arial" w:cs="Arial"/>
          <w:lang w:val="en-GB"/>
        </w:rPr>
        <w:t>Nowakowska</w:t>
      </w:r>
      <w:proofErr w:type="spellEnd"/>
      <w:r w:rsidRPr="004B6FC0">
        <w:rPr>
          <w:rFonts w:ascii="Arial" w:hAnsi="Arial" w:cs="Arial"/>
          <w:lang w:val="en-GB"/>
        </w:rPr>
        <w:t xml:space="preserve"> J, </w:t>
      </w:r>
      <w:proofErr w:type="spellStart"/>
      <w:r w:rsidRPr="004B6FC0">
        <w:rPr>
          <w:rFonts w:ascii="Arial" w:hAnsi="Arial" w:cs="Arial"/>
          <w:lang w:val="en-GB"/>
        </w:rPr>
        <w:t>Sági</w:t>
      </w:r>
      <w:proofErr w:type="spellEnd"/>
      <w:r w:rsidRPr="004B6FC0">
        <w:rPr>
          <w:rFonts w:ascii="Arial" w:hAnsi="Arial" w:cs="Arial"/>
          <w:lang w:val="en-GB"/>
        </w:rPr>
        <w:t xml:space="preserve"> L, Sarmiento C, </w:t>
      </w:r>
      <w:proofErr w:type="spellStart"/>
      <w:r w:rsidRPr="004B6FC0">
        <w:rPr>
          <w:rFonts w:ascii="Arial" w:hAnsi="Arial" w:cs="Arial"/>
          <w:lang w:val="en-GB"/>
        </w:rPr>
        <w:t>Yıldırım</w:t>
      </w:r>
      <w:proofErr w:type="spellEnd"/>
      <w:r w:rsidRPr="004B6FC0">
        <w:rPr>
          <w:rFonts w:ascii="Arial" w:hAnsi="Arial" w:cs="Arial"/>
          <w:lang w:val="en-GB"/>
        </w:rPr>
        <w:t xml:space="preserve"> K, </w:t>
      </w:r>
      <w:proofErr w:type="spellStart"/>
      <w:r w:rsidRPr="004B6FC0">
        <w:rPr>
          <w:rFonts w:ascii="Arial" w:hAnsi="Arial" w:cs="Arial"/>
          <w:lang w:val="en-GB"/>
        </w:rPr>
        <w:t>Zlatković</w:t>
      </w:r>
      <w:proofErr w:type="spellEnd"/>
      <w:r w:rsidRPr="004B6FC0">
        <w:rPr>
          <w:rFonts w:ascii="Arial" w:hAnsi="Arial" w:cs="Arial"/>
          <w:lang w:val="en-GB"/>
        </w:rPr>
        <w:t xml:space="preserve"> M, Hensel G, Van </w:t>
      </w:r>
      <w:proofErr w:type="spellStart"/>
      <w:r w:rsidRPr="004B6FC0">
        <w:rPr>
          <w:rFonts w:ascii="Arial" w:hAnsi="Arial" w:cs="Arial"/>
          <w:lang w:val="en-GB"/>
        </w:rPr>
        <w:t>Laere</w:t>
      </w:r>
      <w:proofErr w:type="spellEnd"/>
      <w:r w:rsidRPr="004B6FC0">
        <w:rPr>
          <w:rFonts w:ascii="Arial" w:hAnsi="Arial" w:cs="Arial"/>
          <w:lang w:val="en-GB"/>
        </w:rPr>
        <w:t xml:space="preserve"> K. </w:t>
      </w:r>
      <w:r w:rsidRPr="004B6FC0">
        <w:rPr>
          <w:rFonts w:ascii="Arial" w:hAnsi="Arial" w:cs="Arial"/>
          <w:b/>
          <w:bCs/>
          <w:lang w:val="en-GB"/>
        </w:rPr>
        <w:t>CRISPR/Cas-mediated plant genome editing: outstanding challenges a decade after implementation</w:t>
      </w:r>
      <w:r w:rsidRPr="004B6FC0">
        <w:rPr>
          <w:rFonts w:ascii="Arial" w:hAnsi="Arial" w:cs="Arial"/>
          <w:lang w:val="en-GB"/>
        </w:rPr>
        <w:t xml:space="preserve"> Trends in Plant Science 2023, S1360138523001644, </w:t>
      </w:r>
    </w:p>
    <w:p w14:paraId="7A81C862" w14:textId="18B8DDA6" w:rsidR="004B6FC0" w:rsidRPr="00735A10" w:rsidRDefault="00735A10" w:rsidP="00735A10">
      <w:pPr>
        <w:spacing w:after="0" w:line="240" w:lineRule="auto"/>
        <w:ind w:left="-3"/>
        <w:jc w:val="both"/>
        <w:rPr>
          <w:rFonts w:ascii="Arial" w:hAnsi="Arial" w:cs="Arial"/>
          <w:lang w:val="en-GB"/>
        </w:rPr>
      </w:pPr>
      <w:r>
        <w:rPr>
          <w:rFonts w:ascii="Arial" w:hAnsi="Arial" w:cs="Arial"/>
          <w:lang w:val="en-GB"/>
        </w:rPr>
        <w:t xml:space="preserve">      </w:t>
      </w:r>
      <w:proofErr w:type="spellStart"/>
      <w:r w:rsidR="0031345D" w:rsidRPr="00735A10">
        <w:rPr>
          <w:rFonts w:ascii="Arial" w:hAnsi="Arial" w:cs="Arial"/>
          <w:lang w:val="en-GB"/>
        </w:rPr>
        <w:t>doi</w:t>
      </w:r>
      <w:proofErr w:type="spellEnd"/>
      <w:r w:rsidR="0031345D" w:rsidRPr="00735A10">
        <w:rPr>
          <w:rFonts w:ascii="Arial" w:hAnsi="Arial" w:cs="Arial"/>
          <w:lang w:val="en-GB"/>
        </w:rPr>
        <w:t>:</w:t>
      </w:r>
      <w:r>
        <w:rPr>
          <w:rFonts w:ascii="Arial" w:hAnsi="Arial" w:cs="Arial"/>
          <w:lang w:val="en-GB"/>
        </w:rPr>
        <w:t xml:space="preserve"> </w:t>
      </w:r>
      <w:r w:rsidR="0031345D" w:rsidRPr="00735A10">
        <w:rPr>
          <w:rFonts w:ascii="Arial" w:hAnsi="Arial" w:cs="Arial"/>
          <w:lang w:val="en-GB"/>
        </w:rPr>
        <w:t>10.1016/j.tplants.2023.05.012.</w:t>
      </w:r>
      <w:r w:rsidR="00BA4CE3" w:rsidRPr="00735A10">
        <w:rPr>
          <w:rFonts w:ascii="Arial" w:hAnsi="Arial" w:cs="Arial"/>
          <w:lang w:val="en-GB"/>
        </w:rPr>
        <w:t xml:space="preserve">     </w:t>
      </w:r>
    </w:p>
    <w:p w14:paraId="176669E4" w14:textId="26567449" w:rsidR="0031345D" w:rsidRPr="004B6FC0" w:rsidRDefault="004B6FC0" w:rsidP="004B6FC0">
      <w:pPr>
        <w:spacing w:after="0" w:line="240" w:lineRule="auto"/>
        <w:ind w:left="-3"/>
        <w:jc w:val="both"/>
        <w:rPr>
          <w:rFonts w:ascii="Arial" w:hAnsi="Arial" w:cs="Arial"/>
          <w:lang w:val="en-GB"/>
        </w:rPr>
      </w:pPr>
      <w:r>
        <w:rPr>
          <w:rFonts w:ascii="Arial" w:hAnsi="Arial" w:cs="Arial"/>
          <w:lang w:val="en-GB"/>
        </w:rPr>
        <w:t xml:space="preserve">                                                                            </w:t>
      </w:r>
      <w:r w:rsidR="00735A10">
        <w:rPr>
          <w:rFonts w:ascii="Arial" w:hAnsi="Arial" w:cs="Arial"/>
          <w:lang w:val="en-GB"/>
        </w:rPr>
        <w:t xml:space="preserve">     </w:t>
      </w:r>
      <w:r w:rsidR="00BA4CE3" w:rsidRPr="004B6FC0">
        <w:rPr>
          <w:rFonts w:ascii="Arial" w:hAnsi="Arial" w:cs="Arial"/>
          <w:lang w:val="en-GB"/>
        </w:rPr>
        <w:t xml:space="preserve">200 </w:t>
      </w:r>
      <w:proofErr w:type="spellStart"/>
      <w:r w:rsidR="00BA4CE3" w:rsidRPr="004B6FC0">
        <w:rPr>
          <w:rFonts w:ascii="Arial" w:hAnsi="Arial" w:cs="Arial"/>
          <w:lang w:val="en-GB"/>
        </w:rPr>
        <w:t>pkt</w:t>
      </w:r>
      <w:proofErr w:type="spellEnd"/>
      <w:r w:rsidR="00BA4CE3" w:rsidRPr="004B6FC0">
        <w:rPr>
          <w:rFonts w:ascii="Arial" w:hAnsi="Arial" w:cs="Arial"/>
          <w:lang w:val="en-GB"/>
        </w:rPr>
        <w:t xml:space="preserve"> </w:t>
      </w:r>
      <w:proofErr w:type="spellStart"/>
      <w:r w:rsidR="00BA4CE3" w:rsidRPr="004B6FC0">
        <w:rPr>
          <w:rFonts w:ascii="Arial" w:hAnsi="Arial" w:cs="Arial"/>
          <w:lang w:val="en-GB"/>
        </w:rPr>
        <w:t>MEiN</w:t>
      </w:r>
      <w:proofErr w:type="spellEnd"/>
      <w:r w:rsidR="00BA4CE3" w:rsidRPr="004B6FC0">
        <w:rPr>
          <w:rFonts w:ascii="Arial" w:hAnsi="Arial" w:cs="Arial"/>
          <w:lang w:val="en-GB"/>
        </w:rPr>
        <w:t xml:space="preserve"> </w:t>
      </w:r>
      <w:r w:rsidR="00735A10">
        <w:rPr>
          <w:rFonts w:ascii="Arial" w:hAnsi="Arial" w:cs="Arial"/>
          <w:lang w:val="en-GB"/>
        </w:rPr>
        <w:t xml:space="preserve"> </w:t>
      </w:r>
      <w:r w:rsidR="00BA4CE3" w:rsidRPr="004B6FC0">
        <w:rPr>
          <w:rFonts w:ascii="Arial" w:hAnsi="Arial" w:cs="Arial"/>
          <w:lang w:val="en-GB"/>
        </w:rPr>
        <w:t>IF</w:t>
      </w:r>
      <w:r w:rsidR="00BA4CE3" w:rsidRPr="004B6FC0">
        <w:rPr>
          <w:rFonts w:ascii="Arial" w:hAnsi="Arial" w:cs="Arial"/>
          <w:vertAlign w:val="subscript"/>
          <w:lang w:val="en-GB"/>
        </w:rPr>
        <w:t>2023</w:t>
      </w:r>
      <w:r w:rsidR="00BA4CE3" w:rsidRPr="004B6FC0">
        <w:rPr>
          <w:rFonts w:ascii="Arial" w:hAnsi="Arial" w:cs="Arial"/>
          <w:lang w:val="en-GB"/>
        </w:rPr>
        <w:t xml:space="preserve"> 22,012  IF</w:t>
      </w:r>
      <w:r w:rsidR="00BA4CE3" w:rsidRPr="004B6FC0">
        <w:rPr>
          <w:rFonts w:ascii="Arial" w:hAnsi="Arial" w:cs="Arial"/>
          <w:vertAlign w:val="subscript"/>
          <w:lang w:val="en-GB"/>
        </w:rPr>
        <w:t>5-letni</w:t>
      </w:r>
      <w:r w:rsidR="00BA4CE3" w:rsidRPr="004B6FC0">
        <w:rPr>
          <w:rFonts w:ascii="Arial" w:hAnsi="Arial" w:cs="Arial"/>
          <w:lang w:val="en-GB"/>
        </w:rPr>
        <w:t xml:space="preserve"> 23,116</w:t>
      </w:r>
      <w:r w:rsidR="0064161D" w:rsidRPr="004B6FC0">
        <w:rPr>
          <w:rFonts w:ascii="Arial" w:hAnsi="Arial" w:cs="Arial"/>
          <w:lang w:val="en-GB"/>
        </w:rPr>
        <w:t xml:space="preserve">                                                                                </w:t>
      </w:r>
      <w:r w:rsidR="00BA4CE3" w:rsidRPr="004B6FC0">
        <w:rPr>
          <w:rFonts w:ascii="Arial" w:hAnsi="Arial" w:cs="Arial"/>
          <w:lang w:val="en-GB"/>
        </w:rPr>
        <w:t xml:space="preserve">               </w:t>
      </w:r>
    </w:p>
    <w:p w14:paraId="18A28B29" w14:textId="77777777" w:rsidR="004B6FC0" w:rsidRPr="004B6FC0" w:rsidRDefault="004B6FC0" w:rsidP="0064161D">
      <w:pPr>
        <w:pStyle w:val="Akapitzlist"/>
        <w:spacing w:after="0" w:line="240" w:lineRule="auto"/>
        <w:jc w:val="both"/>
        <w:rPr>
          <w:rFonts w:ascii="Arial" w:hAnsi="Arial" w:cs="Arial"/>
          <w:lang w:val="en-US"/>
        </w:rPr>
      </w:pPr>
    </w:p>
    <w:p w14:paraId="2B97A8C5" w14:textId="034D904A" w:rsidR="0031345D" w:rsidRDefault="004B6FC0" w:rsidP="0064161D">
      <w:pPr>
        <w:pStyle w:val="Akapitzlist"/>
        <w:spacing w:after="0" w:line="240" w:lineRule="auto"/>
        <w:jc w:val="both"/>
        <w:rPr>
          <w:rFonts w:ascii="Arial" w:hAnsi="Arial" w:cs="Arial"/>
          <w:sz w:val="18"/>
          <w:szCs w:val="18"/>
        </w:rPr>
      </w:pPr>
      <w:r>
        <w:rPr>
          <w:rFonts w:ascii="Arial" w:hAnsi="Arial" w:cs="Arial"/>
        </w:rPr>
        <w:t>S</w:t>
      </w:r>
      <w:r w:rsidR="0064161D" w:rsidRPr="004B6FC0">
        <w:rPr>
          <w:rFonts w:ascii="Arial" w:hAnsi="Arial" w:cs="Arial"/>
        </w:rPr>
        <w:t xml:space="preserve">uma punktów </w:t>
      </w:r>
      <w:proofErr w:type="spellStart"/>
      <w:r w:rsidR="0064161D" w:rsidRPr="004B6FC0">
        <w:rPr>
          <w:rFonts w:ascii="Arial" w:hAnsi="Arial" w:cs="Arial"/>
        </w:rPr>
        <w:t>MEiN</w:t>
      </w:r>
      <w:proofErr w:type="spellEnd"/>
      <w:r w:rsidR="0064161D" w:rsidRPr="004B6FC0">
        <w:rPr>
          <w:rFonts w:ascii="Arial" w:hAnsi="Arial" w:cs="Arial"/>
        </w:rPr>
        <w:t xml:space="preserve"> to 480. </w:t>
      </w:r>
      <w:r>
        <w:rPr>
          <w:rFonts w:ascii="Arial" w:hAnsi="Arial" w:cs="Arial"/>
        </w:rPr>
        <w:t xml:space="preserve">      </w:t>
      </w:r>
      <w:r w:rsidR="0031345D" w:rsidRPr="004B6FC0">
        <w:rPr>
          <w:rFonts w:ascii="Arial" w:hAnsi="Arial" w:cs="Arial"/>
        </w:rPr>
        <w:t>Łączny IF/IF</w:t>
      </w:r>
      <w:r w:rsidR="0031345D" w:rsidRPr="004B6FC0">
        <w:rPr>
          <w:rFonts w:ascii="Arial" w:hAnsi="Arial" w:cs="Arial"/>
          <w:vertAlign w:val="subscript"/>
        </w:rPr>
        <w:t>5-letni</w:t>
      </w:r>
      <w:r w:rsidR="0031345D" w:rsidRPr="004B6FC0">
        <w:rPr>
          <w:rFonts w:ascii="Arial" w:hAnsi="Arial" w:cs="Arial"/>
        </w:rPr>
        <w:t xml:space="preserve"> dla w/w prac wynosi 34,144/36,372.</w:t>
      </w:r>
      <w:r w:rsidR="0031345D" w:rsidRPr="00BA4CE3">
        <w:rPr>
          <w:rFonts w:ascii="Arial" w:hAnsi="Arial" w:cs="Arial"/>
          <w:sz w:val="18"/>
          <w:szCs w:val="18"/>
        </w:rPr>
        <w:t xml:space="preserve"> </w:t>
      </w:r>
      <w:r w:rsidR="0064161D" w:rsidRPr="00BA4CE3">
        <w:rPr>
          <w:rFonts w:ascii="Arial" w:hAnsi="Arial" w:cs="Arial"/>
          <w:sz w:val="18"/>
          <w:szCs w:val="18"/>
        </w:rPr>
        <w:t xml:space="preserve">   </w:t>
      </w:r>
    </w:p>
    <w:p w14:paraId="76F71E2B" w14:textId="77777777" w:rsidR="004B6FC0" w:rsidRDefault="004B6FC0" w:rsidP="0064161D">
      <w:pPr>
        <w:pStyle w:val="Akapitzlist"/>
        <w:spacing w:after="0" w:line="240" w:lineRule="auto"/>
        <w:jc w:val="both"/>
        <w:rPr>
          <w:rFonts w:ascii="Arial" w:hAnsi="Arial" w:cs="Arial"/>
          <w:sz w:val="18"/>
          <w:szCs w:val="18"/>
        </w:rPr>
      </w:pPr>
    </w:p>
    <w:p w14:paraId="02D029D6" w14:textId="77777777" w:rsidR="004B6FC0" w:rsidRPr="00BA4CE3" w:rsidRDefault="004B6FC0" w:rsidP="0064161D">
      <w:pPr>
        <w:pStyle w:val="Akapitzlist"/>
        <w:spacing w:after="0" w:line="240" w:lineRule="auto"/>
        <w:jc w:val="both"/>
        <w:rPr>
          <w:rFonts w:ascii="Arial" w:hAnsi="Arial" w:cs="Arial"/>
          <w:sz w:val="18"/>
          <w:szCs w:val="18"/>
        </w:rPr>
      </w:pPr>
    </w:p>
    <w:p w14:paraId="7A293474" w14:textId="1572CF1D" w:rsidR="00BA4CE3" w:rsidRDefault="0064161D" w:rsidP="00BA4CE3">
      <w:pPr>
        <w:spacing w:before="120" w:after="120" w:line="240" w:lineRule="auto"/>
        <w:jc w:val="both"/>
        <w:rPr>
          <w:rFonts w:ascii="Arial" w:hAnsi="Arial" w:cs="Arial"/>
          <w:color w:val="000000"/>
        </w:rPr>
      </w:pPr>
      <w:r w:rsidRPr="004B6FC0">
        <w:rPr>
          <w:rFonts w:ascii="Arial" w:hAnsi="Arial" w:cs="Arial"/>
          <w:color w:val="000000"/>
        </w:rPr>
        <w:t xml:space="preserve">Radzików, </w:t>
      </w:r>
      <w:r w:rsidR="004B6FC0">
        <w:rPr>
          <w:rFonts w:ascii="Arial" w:hAnsi="Arial" w:cs="Arial"/>
          <w:color w:val="000000"/>
        </w:rPr>
        <w:t>21.06.</w:t>
      </w:r>
      <w:r w:rsidRPr="004B6FC0">
        <w:rPr>
          <w:rFonts w:ascii="Arial" w:hAnsi="Arial" w:cs="Arial"/>
          <w:color w:val="000000"/>
        </w:rPr>
        <w:t>2023</w:t>
      </w:r>
      <w:r w:rsidR="004B6FC0">
        <w:rPr>
          <w:rFonts w:ascii="Arial" w:hAnsi="Arial" w:cs="Arial"/>
          <w:color w:val="000000"/>
        </w:rPr>
        <w:t xml:space="preserve"> r</w:t>
      </w:r>
      <w:r w:rsidRPr="004B6FC0">
        <w:rPr>
          <w:rFonts w:ascii="Arial" w:hAnsi="Arial" w:cs="Arial"/>
          <w:color w:val="000000"/>
        </w:rPr>
        <w:t xml:space="preserve">.                          </w:t>
      </w:r>
      <w:r w:rsidR="00BA4CE3" w:rsidRPr="004B6FC0">
        <w:rPr>
          <w:rFonts w:ascii="Arial" w:hAnsi="Arial" w:cs="Arial"/>
          <w:color w:val="000000"/>
        </w:rPr>
        <w:t xml:space="preserve">                                     </w:t>
      </w:r>
      <w:r w:rsidRPr="004B6FC0">
        <w:rPr>
          <w:rFonts w:ascii="Arial" w:hAnsi="Arial" w:cs="Arial"/>
          <w:color w:val="000000"/>
        </w:rPr>
        <w:t xml:space="preserve">(-) mgr Krzysztof Michalski </w:t>
      </w:r>
    </w:p>
    <w:p w14:paraId="0EDBAF3A" w14:textId="77777777" w:rsidR="004B6FC0" w:rsidRPr="004B6FC0" w:rsidRDefault="004B6FC0" w:rsidP="00BA4CE3">
      <w:pPr>
        <w:spacing w:before="120" w:after="120" w:line="240" w:lineRule="auto"/>
        <w:jc w:val="both"/>
        <w:rPr>
          <w:rFonts w:ascii="Arial" w:hAnsi="Arial" w:cs="Arial"/>
          <w:color w:val="000000"/>
        </w:rPr>
      </w:pPr>
    </w:p>
    <w:p w14:paraId="19F77474" w14:textId="131D90CF" w:rsidR="0031345D" w:rsidRPr="004B6FC0" w:rsidRDefault="0064161D" w:rsidP="00367B65">
      <w:pPr>
        <w:spacing w:before="120" w:after="120" w:line="240" w:lineRule="auto"/>
        <w:jc w:val="both"/>
        <w:rPr>
          <w:rFonts w:ascii="Times New Roman" w:hAnsi="Times New Roman" w:cs="Times New Roman"/>
          <w:sz w:val="20"/>
          <w:szCs w:val="20"/>
        </w:rPr>
      </w:pPr>
      <w:r w:rsidRPr="004B6FC0">
        <w:rPr>
          <w:rFonts w:ascii="Arial" w:hAnsi="Arial" w:cs="Arial"/>
          <w:color w:val="000000"/>
          <w:sz w:val="20"/>
          <w:szCs w:val="20"/>
        </w:rPr>
        <w:t xml:space="preserve">*/ </w:t>
      </w:r>
      <w:r w:rsidRPr="004B6FC0">
        <w:rPr>
          <w:rFonts w:ascii="Arial" w:hAnsi="Arial" w:cs="Arial"/>
          <w:b/>
          <w:bCs/>
          <w:sz w:val="20"/>
          <w:szCs w:val="20"/>
        </w:rPr>
        <w:t xml:space="preserve"> </w:t>
      </w:r>
      <w:r w:rsidRPr="004B6FC0">
        <w:rPr>
          <w:rFonts w:ascii="Arial" w:hAnsi="Arial" w:cs="Arial"/>
          <w:sz w:val="20"/>
          <w:szCs w:val="20"/>
        </w:rPr>
        <w:t>przewód doktorski wszczęty do 30 kwietnia 2019 r. realizowany jest w dyscyplinie agronomia,</w:t>
      </w:r>
      <w:r w:rsidR="004B6FC0">
        <w:rPr>
          <w:rFonts w:ascii="Arial" w:hAnsi="Arial" w:cs="Arial"/>
          <w:sz w:val="20"/>
          <w:szCs w:val="20"/>
        </w:rPr>
        <w:br/>
      </w:r>
      <w:r w:rsidRPr="004B6FC0">
        <w:rPr>
          <w:rFonts w:ascii="Arial" w:hAnsi="Arial" w:cs="Arial"/>
          <w:sz w:val="20"/>
          <w:szCs w:val="20"/>
        </w:rPr>
        <w:t xml:space="preserve"> </w:t>
      </w:r>
      <w:r w:rsidR="004B6FC0">
        <w:rPr>
          <w:rFonts w:ascii="Arial" w:hAnsi="Arial" w:cs="Arial"/>
          <w:sz w:val="20"/>
          <w:szCs w:val="20"/>
        </w:rPr>
        <w:t xml:space="preserve">     </w:t>
      </w:r>
      <w:r w:rsidRPr="004B6FC0">
        <w:rPr>
          <w:rFonts w:ascii="Arial" w:hAnsi="Arial" w:cs="Arial"/>
          <w:sz w:val="20"/>
          <w:szCs w:val="20"/>
        </w:rPr>
        <w:t>nadanie stopnia doktora po 30 kwietnia 2019 r. następuje w dyscyplinie rolnictwo i ogrodnictwo.</w:t>
      </w:r>
    </w:p>
    <w:sectPr w:rsidR="0031345D" w:rsidRPr="004B6FC0" w:rsidSect="004B6FC0">
      <w:foot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BC58" w14:textId="77777777" w:rsidR="00D951AF" w:rsidRDefault="00D951AF" w:rsidP="00BA4CE3">
      <w:pPr>
        <w:spacing w:after="0" w:line="240" w:lineRule="auto"/>
      </w:pPr>
      <w:r>
        <w:separator/>
      </w:r>
    </w:p>
  </w:endnote>
  <w:endnote w:type="continuationSeparator" w:id="0">
    <w:p w14:paraId="62B6E8AA" w14:textId="77777777" w:rsidR="00D951AF" w:rsidRDefault="00D951AF" w:rsidP="00BA4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3227"/>
      <w:docPartObj>
        <w:docPartGallery w:val="Page Numbers (Bottom of Page)"/>
        <w:docPartUnique/>
      </w:docPartObj>
    </w:sdtPr>
    <w:sdtContent>
      <w:p w14:paraId="64711DAC" w14:textId="584E423A" w:rsidR="00BA4CE3" w:rsidRDefault="00BA4CE3">
        <w:pPr>
          <w:pStyle w:val="Stopka"/>
          <w:jc w:val="center"/>
        </w:pPr>
        <w:r>
          <w:fldChar w:fldCharType="begin"/>
        </w:r>
        <w:r>
          <w:instrText>PAGE   \* MERGEFORMAT</w:instrText>
        </w:r>
        <w:r>
          <w:fldChar w:fldCharType="separate"/>
        </w:r>
        <w:r>
          <w:t>2</w:t>
        </w:r>
        <w:r>
          <w:fldChar w:fldCharType="end"/>
        </w:r>
      </w:p>
    </w:sdtContent>
  </w:sdt>
  <w:p w14:paraId="20D52F8A" w14:textId="77777777" w:rsidR="00BA4CE3" w:rsidRDefault="00BA4C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DFEE" w14:textId="77777777" w:rsidR="00D951AF" w:rsidRDefault="00D951AF" w:rsidP="00BA4CE3">
      <w:pPr>
        <w:spacing w:after="0" w:line="240" w:lineRule="auto"/>
      </w:pPr>
      <w:r>
        <w:separator/>
      </w:r>
    </w:p>
  </w:footnote>
  <w:footnote w:type="continuationSeparator" w:id="0">
    <w:p w14:paraId="31A367E3" w14:textId="77777777" w:rsidR="00D951AF" w:rsidRDefault="00D951AF" w:rsidP="00BA4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F92"/>
    <w:multiLevelType w:val="hybridMultilevel"/>
    <w:tmpl w:val="7410E58A"/>
    <w:lvl w:ilvl="0" w:tplc="F350D49E">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E233E"/>
    <w:multiLevelType w:val="hybridMultilevel"/>
    <w:tmpl w:val="29D08FAA"/>
    <w:lvl w:ilvl="0" w:tplc="B1FED9B2">
      <w:start w:val="1"/>
      <w:numFmt w:val="upperRoman"/>
      <w:lvlText w:val="%1."/>
      <w:lvlJc w:val="right"/>
      <w:pPr>
        <w:ind w:left="720" w:hanging="360"/>
      </w:pPr>
      <w:rPr>
        <w:b/>
        <w:bCs/>
      </w:rPr>
    </w:lvl>
    <w:lvl w:ilvl="1" w:tplc="0415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C52B7"/>
    <w:multiLevelType w:val="hybridMultilevel"/>
    <w:tmpl w:val="FBE4EC72"/>
    <w:lvl w:ilvl="0" w:tplc="74DC985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72467"/>
    <w:multiLevelType w:val="hybridMultilevel"/>
    <w:tmpl w:val="A6D02200"/>
    <w:lvl w:ilvl="0" w:tplc="18BC5B22">
      <w:numFmt w:val="bullet"/>
      <w:lvlText w:val="-"/>
      <w:lvlJc w:val="left"/>
      <w:pPr>
        <w:ind w:left="720" w:hanging="360"/>
      </w:pPr>
      <w:rPr>
        <w:rFonts w:ascii="Times New Roman" w:eastAsia="Times New Roman" w:hAnsi="Times New Roman" w:cs="Times New Roman" w:hint="default"/>
        <w:i/>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1726D7D"/>
    <w:multiLevelType w:val="hybridMultilevel"/>
    <w:tmpl w:val="23AE333A"/>
    <w:lvl w:ilvl="0" w:tplc="04150013">
      <w:start w:val="1"/>
      <w:numFmt w:val="upperRoman"/>
      <w:lvlText w:val="%1."/>
      <w:lvlJc w:val="right"/>
      <w:pPr>
        <w:ind w:left="360" w:hanging="360"/>
      </w:pPr>
    </w:lvl>
    <w:lvl w:ilvl="1" w:tplc="0415000F">
      <w:start w:val="1"/>
      <w:numFmt w:val="decimal"/>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0754418">
    <w:abstractNumId w:val="1"/>
  </w:num>
  <w:num w:numId="2" w16cid:durableId="500896125">
    <w:abstractNumId w:val="4"/>
  </w:num>
  <w:num w:numId="3" w16cid:durableId="345519648">
    <w:abstractNumId w:val="2"/>
  </w:num>
  <w:num w:numId="4" w16cid:durableId="507254511">
    <w:abstractNumId w:val="0"/>
  </w:num>
  <w:num w:numId="5" w16cid:durableId="137187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62"/>
    <w:rsid w:val="0031345D"/>
    <w:rsid w:val="00367B65"/>
    <w:rsid w:val="0048488D"/>
    <w:rsid w:val="00495C87"/>
    <w:rsid w:val="004B6FC0"/>
    <w:rsid w:val="00556A17"/>
    <w:rsid w:val="00624806"/>
    <w:rsid w:val="0064161D"/>
    <w:rsid w:val="00735A10"/>
    <w:rsid w:val="00B072FD"/>
    <w:rsid w:val="00BA4CE3"/>
    <w:rsid w:val="00BE2FA7"/>
    <w:rsid w:val="00C0051F"/>
    <w:rsid w:val="00D951AF"/>
    <w:rsid w:val="00EC326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E500"/>
  <w15:chartTrackingRefBased/>
  <w15:docId w15:val="{E10A4746-AFEF-4DDA-B86A-6CDB53B5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262"/>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3262"/>
    <w:pPr>
      <w:ind w:left="720"/>
      <w:contextualSpacing/>
    </w:pPr>
  </w:style>
  <w:style w:type="paragraph" w:customStyle="1" w:styleId="Default">
    <w:name w:val="Default"/>
    <w:rsid w:val="0031345D"/>
    <w:pPr>
      <w:autoSpaceDE w:val="0"/>
      <w:autoSpaceDN w:val="0"/>
      <w:adjustRightInd w:val="0"/>
      <w:spacing w:after="0" w:line="240" w:lineRule="auto"/>
    </w:pPr>
    <w:rPr>
      <w:rFonts w:ascii="Cambria" w:hAnsi="Cambria" w:cs="Cambria"/>
      <w:color w:val="000000"/>
      <w:sz w:val="24"/>
      <w:szCs w:val="24"/>
      <w:lang w:val="pl-PL"/>
    </w:rPr>
  </w:style>
  <w:style w:type="paragraph" w:styleId="Nagwek">
    <w:name w:val="header"/>
    <w:basedOn w:val="Normalny"/>
    <w:link w:val="NagwekZnak"/>
    <w:uiPriority w:val="99"/>
    <w:unhideWhenUsed/>
    <w:rsid w:val="00BA4C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4CE3"/>
    <w:rPr>
      <w:lang w:val="pl-PL"/>
    </w:rPr>
  </w:style>
  <w:style w:type="paragraph" w:styleId="Stopka">
    <w:name w:val="footer"/>
    <w:basedOn w:val="Normalny"/>
    <w:link w:val="StopkaZnak"/>
    <w:uiPriority w:val="99"/>
    <w:unhideWhenUsed/>
    <w:rsid w:val="00BA4C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4CE3"/>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1214</Words>
  <Characters>7285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Michalski Radzików</dc:creator>
  <cp:keywords/>
  <dc:description/>
  <cp:lastModifiedBy>Elżbieta Kruszyńska</cp:lastModifiedBy>
  <cp:revision>6</cp:revision>
  <dcterms:created xsi:type="dcterms:W3CDTF">2023-07-27T08:16:00Z</dcterms:created>
  <dcterms:modified xsi:type="dcterms:W3CDTF">2023-07-27T09:03:00Z</dcterms:modified>
</cp:coreProperties>
</file>