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D78F96B" w14:textId="3E78106F" w:rsidR="00A52466" w:rsidRDefault="00971EF3" w:rsidP="00971EF3">
      <w:pPr>
        <w:spacing w:after="0" w:line="276" w:lineRule="auto"/>
        <w:rPr>
          <w:rFonts w:ascii="Times New Roman" w:hAnsi="Times New Roman" w:cs="Times New Roman"/>
          <w:b/>
          <w:smallCaps/>
        </w:rPr>
      </w:pPr>
      <w:r>
        <w:rPr>
          <w:rFonts w:ascii="Times New Roman" w:hAnsi="Times New Roman" w:cs="Times New Roman"/>
          <w:b/>
          <w:smallCaps/>
        </w:rPr>
        <w:tab/>
      </w:r>
      <w:r>
        <w:rPr>
          <w:rFonts w:ascii="Times New Roman" w:hAnsi="Times New Roman" w:cs="Times New Roman"/>
          <w:b/>
          <w:smallCaps/>
        </w:rPr>
        <w:tab/>
      </w:r>
      <w:r>
        <w:rPr>
          <w:rFonts w:ascii="Times New Roman" w:hAnsi="Times New Roman" w:cs="Times New Roman"/>
          <w:b/>
          <w:smallCaps/>
        </w:rPr>
        <w:tab/>
      </w:r>
      <w:r>
        <w:rPr>
          <w:rFonts w:ascii="Times New Roman" w:hAnsi="Times New Roman" w:cs="Times New Roman"/>
          <w:b/>
          <w:smallCaps/>
        </w:rPr>
        <w:tab/>
      </w:r>
      <w:r>
        <w:rPr>
          <w:rFonts w:ascii="Times New Roman" w:hAnsi="Times New Roman" w:cs="Times New Roman"/>
          <w:b/>
          <w:smallCaps/>
        </w:rPr>
        <w:tab/>
      </w:r>
      <w:r>
        <w:rPr>
          <w:rFonts w:ascii="Times New Roman" w:hAnsi="Times New Roman" w:cs="Times New Roman"/>
          <w:b/>
          <w:smallCaps/>
        </w:rPr>
        <w:tab/>
      </w:r>
      <w:r>
        <w:rPr>
          <w:rFonts w:ascii="Times New Roman" w:hAnsi="Times New Roman" w:cs="Times New Roman"/>
          <w:b/>
          <w:smallCaps/>
        </w:rPr>
        <w:tab/>
      </w:r>
      <w:r>
        <w:rPr>
          <w:rFonts w:ascii="Times New Roman" w:hAnsi="Times New Roman" w:cs="Times New Roman"/>
          <w:b/>
          <w:smallCaps/>
        </w:rPr>
        <w:tab/>
        <w:t>Załącznik nr 2/2 do siwz</w:t>
      </w:r>
    </w:p>
    <w:p w14:paraId="34D6AC16" w14:textId="5E4D95D6" w:rsidR="00971EF3" w:rsidRPr="00971EF3" w:rsidRDefault="00E55842" w:rsidP="00971EF3">
      <w:pPr>
        <w:spacing w:after="0" w:line="276" w:lineRule="auto"/>
        <w:rPr>
          <w:rFonts w:ascii="Times New Roman" w:hAnsi="Times New Roman" w:cs="Times New Roman"/>
          <w:b/>
          <w:smallCaps/>
        </w:rPr>
      </w:pPr>
      <w:r>
        <w:rPr>
          <w:rFonts w:ascii="Times New Roman" w:hAnsi="Times New Roman" w:cs="Times New Roman"/>
          <w:b/>
          <w:smallCaps/>
        </w:rPr>
        <w:tab/>
      </w:r>
      <w:r>
        <w:rPr>
          <w:rFonts w:ascii="Times New Roman" w:hAnsi="Times New Roman" w:cs="Times New Roman"/>
          <w:b/>
          <w:smallCaps/>
        </w:rPr>
        <w:tab/>
      </w:r>
      <w:r>
        <w:rPr>
          <w:rFonts w:ascii="Times New Roman" w:hAnsi="Times New Roman" w:cs="Times New Roman"/>
          <w:b/>
          <w:smallCaps/>
        </w:rPr>
        <w:tab/>
      </w:r>
      <w:r>
        <w:rPr>
          <w:rFonts w:ascii="Times New Roman" w:hAnsi="Times New Roman" w:cs="Times New Roman"/>
          <w:b/>
          <w:smallCaps/>
        </w:rPr>
        <w:tab/>
      </w:r>
      <w:r>
        <w:rPr>
          <w:rFonts w:ascii="Times New Roman" w:hAnsi="Times New Roman" w:cs="Times New Roman"/>
          <w:b/>
          <w:smallCaps/>
        </w:rPr>
        <w:tab/>
      </w:r>
      <w:r>
        <w:rPr>
          <w:rFonts w:ascii="Times New Roman" w:hAnsi="Times New Roman" w:cs="Times New Roman"/>
          <w:b/>
          <w:smallCaps/>
        </w:rPr>
        <w:tab/>
      </w:r>
      <w:r>
        <w:rPr>
          <w:rFonts w:ascii="Times New Roman" w:hAnsi="Times New Roman" w:cs="Times New Roman"/>
          <w:b/>
          <w:smallCaps/>
        </w:rPr>
        <w:tab/>
      </w:r>
      <w:r>
        <w:rPr>
          <w:rFonts w:ascii="Times New Roman" w:hAnsi="Times New Roman" w:cs="Times New Roman"/>
          <w:b/>
          <w:smallCaps/>
        </w:rPr>
        <w:tab/>
        <w:t>ZP/3</w:t>
      </w:r>
      <w:r w:rsidR="00971EF3">
        <w:rPr>
          <w:rFonts w:ascii="Times New Roman" w:hAnsi="Times New Roman" w:cs="Times New Roman"/>
          <w:b/>
          <w:smallCaps/>
        </w:rPr>
        <w:t xml:space="preserve">/N/D/2019 </w:t>
      </w:r>
    </w:p>
    <w:p w14:paraId="2A948C1B" w14:textId="77777777" w:rsidR="00971EF3" w:rsidRDefault="00971EF3">
      <w:pPr>
        <w:rPr>
          <w:b/>
          <w:smallCaps/>
          <w:sz w:val="28"/>
        </w:rPr>
      </w:pPr>
    </w:p>
    <w:p w14:paraId="76569F40" w14:textId="41DFE511" w:rsidR="00176C49" w:rsidRPr="007059C0" w:rsidRDefault="00971EF3">
      <w:pPr>
        <w:rPr>
          <w:b/>
          <w:smallCaps/>
          <w:sz w:val="28"/>
        </w:rPr>
      </w:pPr>
      <w:r>
        <w:rPr>
          <w:b/>
          <w:smallCaps/>
          <w:sz w:val="28"/>
        </w:rPr>
        <w:t xml:space="preserve">Pakiet 2- </w:t>
      </w:r>
      <w:r w:rsidR="007059C0" w:rsidRPr="007059C0">
        <w:rPr>
          <w:b/>
          <w:smallCaps/>
          <w:sz w:val="28"/>
        </w:rPr>
        <w:t>homogenizator kulkowy do homogenizacji wielu prób jednocześnie</w:t>
      </w:r>
      <w:r w:rsidR="00CE46B5">
        <w:rPr>
          <w:b/>
          <w:smallCaps/>
          <w:sz w:val="28"/>
        </w:rPr>
        <w:t>,</w:t>
      </w:r>
    </w:p>
    <w:p w14:paraId="74283EE0" w14:textId="0B282F93" w:rsidR="00176C49" w:rsidRDefault="00176C49" w:rsidP="007059C0">
      <w:pPr>
        <w:pStyle w:val="Akapitzlist"/>
        <w:numPr>
          <w:ilvl w:val="0"/>
          <w:numId w:val="3"/>
        </w:numPr>
        <w:spacing w:after="120" w:line="240" w:lineRule="auto"/>
      </w:pPr>
      <w:r w:rsidRPr="00176C49">
        <w:t xml:space="preserve">Częstotliwość wytrząsania w zakresie nie mniejszym niż 3 - 30 </w:t>
      </w:r>
      <w:proofErr w:type="spellStart"/>
      <w:r w:rsidRPr="00176C49">
        <w:t>Hz</w:t>
      </w:r>
      <w:proofErr w:type="spellEnd"/>
      <w:r w:rsidRPr="00176C49">
        <w:t xml:space="preserve">, co 0,1 </w:t>
      </w:r>
      <w:proofErr w:type="spellStart"/>
      <w:r w:rsidRPr="00176C49">
        <w:t>Hz</w:t>
      </w:r>
      <w:proofErr w:type="spellEnd"/>
      <w:r w:rsidRPr="00176C49">
        <w:t xml:space="preserve">. </w:t>
      </w:r>
      <w:r>
        <w:t>(180–1800 oscylacji/minuta)</w:t>
      </w:r>
      <w:r w:rsidR="00B5151C">
        <w:t>, regulowana w krokach co 0,</w:t>
      </w:r>
      <w:r w:rsidR="00B5151C" w:rsidRPr="000D7786">
        <w:t xml:space="preserve">1 </w:t>
      </w:r>
      <w:proofErr w:type="spellStart"/>
      <w:r w:rsidR="00B5151C" w:rsidRPr="000D7786">
        <w:t>Hz</w:t>
      </w:r>
      <w:proofErr w:type="spellEnd"/>
      <w:r w:rsidR="00B5151C" w:rsidRPr="000D7786">
        <w:t xml:space="preserve"> </w:t>
      </w:r>
      <w:r w:rsidR="00B5151C">
        <w:t>przy użyciu przycisków dotykowych</w:t>
      </w:r>
    </w:p>
    <w:p w14:paraId="4701157B" w14:textId="3D7CC640" w:rsidR="006F1E14" w:rsidRDefault="00A1734D" w:rsidP="007059C0">
      <w:pPr>
        <w:pStyle w:val="Akapitzlist"/>
        <w:numPr>
          <w:ilvl w:val="0"/>
          <w:numId w:val="3"/>
        </w:numPr>
        <w:spacing w:after="120" w:line="240" w:lineRule="auto"/>
      </w:pPr>
      <w:proofErr w:type="spellStart"/>
      <w:r>
        <w:t>T</w:t>
      </w:r>
      <w:r w:rsidR="00176C49" w:rsidRPr="00176C49">
        <w:t>imer</w:t>
      </w:r>
      <w:proofErr w:type="spellEnd"/>
      <w:r w:rsidR="00176C49" w:rsidRPr="00176C49">
        <w:t xml:space="preserve"> z możliwością ustawienia czasu od </w:t>
      </w:r>
      <w:r w:rsidR="00176C49">
        <w:t>10</w:t>
      </w:r>
      <w:r w:rsidR="00176C49" w:rsidRPr="00176C49">
        <w:t xml:space="preserve"> s do 99 min </w:t>
      </w:r>
    </w:p>
    <w:p w14:paraId="0FA1DE23" w14:textId="14A52D8D" w:rsidR="00C00216" w:rsidRDefault="007059C0" w:rsidP="007059C0">
      <w:pPr>
        <w:pStyle w:val="Akapitzlist"/>
        <w:numPr>
          <w:ilvl w:val="0"/>
          <w:numId w:val="3"/>
        </w:numPr>
        <w:spacing w:after="120" w:line="240" w:lineRule="auto"/>
      </w:pPr>
      <w:r>
        <w:t>Możliwość</w:t>
      </w:r>
      <w:r w:rsidR="006F1E14">
        <w:t xml:space="preserve"> zaprogramowania do 9 różnych programów homogenizacji</w:t>
      </w:r>
    </w:p>
    <w:p w14:paraId="4FD39F02" w14:textId="247195F8" w:rsidR="00413E0D" w:rsidRDefault="00176C49" w:rsidP="007059C0">
      <w:pPr>
        <w:pStyle w:val="Akapitzlist"/>
        <w:numPr>
          <w:ilvl w:val="0"/>
          <w:numId w:val="3"/>
        </w:numPr>
        <w:spacing w:after="120" w:line="240" w:lineRule="auto"/>
      </w:pPr>
      <w:r w:rsidRPr="00176C49">
        <w:t>Możliwość zastosowania różnego rodzaju</w:t>
      </w:r>
      <w:r w:rsidR="00C06584">
        <w:t xml:space="preserve"> probówek i</w:t>
      </w:r>
      <w:r w:rsidRPr="00176C49">
        <w:t xml:space="preserve"> kulek homogenizacyjnych</w:t>
      </w:r>
      <w:r w:rsidR="00C00216">
        <w:t xml:space="preserve"> oraz</w:t>
      </w:r>
      <w:r w:rsidRPr="00176C49">
        <w:t xml:space="preserve"> słoiczk</w:t>
      </w:r>
      <w:r w:rsidR="00C00216">
        <w:t>ów</w:t>
      </w:r>
      <w:r w:rsidRPr="00176C49">
        <w:t xml:space="preserve"> do homogenizacji</w:t>
      </w:r>
      <w:r w:rsidR="00C06584">
        <w:t xml:space="preserve"> (na 4-10 ml próbki)</w:t>
      </w:r>
      <w:r w:rsidR="00C00216">
        <w:t xml:space="preserve"> wykonanych ze stali nierdzewnej </w:t>
      </w:r>
      <w:r w:rsidR="00A1734D">
        <w:t>lub</w:t>
      </w:r>
      <w:r w:rsidR="00C00216">
        <w:t xml:space="preserve"> teflonu</w:t>
      </w:r>
      <w:r w:rsidRPr="00176C49">
        <w:t xml:space="preserve"> </w:t>
      </w:r>
    </w:p>
    <w:p w14:paraId="0487F5B5" w14:textId="70E056EE" w:rsidR="00B5151C" w:rsidRPr="001528D2" w:rsidRDefault="00B5151C" w:rsidP="007059C0">
      <w:pPr>
        <w:pStyle w:val="Akapitzlist"/>
        <w:numPr>
          <w:ilvl w:val="0"/>
          <w:numId w:val="3"/>
        </w:numPr>
        <w:spacing w:after="120" w:line="240" w:lineRule="auto"/>
      </w:pPr>
      <w:r>
        <w:t>M</w:t>
      </w:r>
      <w:r w:rsidRPr="001528D2">
        <w:t>ożliwość głębokiego zamrażania</w:t>
      </w:r>
      <w:r>
        <w:t xml:space="preserve"> adaptera</w:t>
      </w:r>
      <w:r w:rsidR="00EC0D02">
        <w:t xml:space="preserve"> na probówki</w:t>
      </w:r>
      <w:r>
        <w:t xml:space="preserve"> wraz z</w:t>
      </w:r>
      <w:r w:rsidRPr="001528D2">
        <w:t xml:space="preserve"> próbk</w:t>
      </w:r>
      <w:r>
        <w:t>ami (do -80°C)</w:t>
      </w:r>
    </w:p>
    <w:p w14:paraId="1CB8FF03" w14:textId="432EE3B2" w:rsidR="00B5151C" w:rsidRDefault="002F16D9" w:rsidP="007059C0">
      <w:pPr>
        <w:pStyle w:val="Akapitzlist"/>
        <w:numPr>
          <w:ilvl w:val="0"/>
          <w:numId w:val="3"/>
        </w:numPr>
        <w:spacing w:after="120" w:line="240" w:lineRule="auto"/>
      </w:pPr>
      <w:r>
        <w:t>Słoiczki homogenizacyjne przed rozpoczęciem homogenizacji mogą być chłodzone w ciekłym azocie.</w:t>
      </w:r>
    </w:p>
    <w:p w14:paraId="001BD45C" w14:textId="6F04CD30" w:rsidR="00413E0D" w:rsidRDefault="00176C49" w:rsidP="007059C0">
      <w:pPr>
        <w:pStyle w:val="Akapitzlist"/>
        <w:numPr>
          <w:ilvl w:val="0"/>
          <w:numId w:val="3"/>
        </w:numPr>
        <w:spacing w:after="120" w:line="240" w:lineRule="auto"/>
      </w:pPr>
      <w:r w:rsidRPr="00176C49">
        <w:t xml:space="preserve">Możliwość </w:t>
      </w:r>
      <w:r w:rsidR="00413E0D">
        <w:t xml:space="preserve">homogenizacji w statywach na 2x24 </w:t>
      </w:r>
      <w:r w:rsidR="001B6A4C">
        <w:t>(</w:t>
      </w:r>
      <w:r w:rsidR="00413E0D">
        <w:t>probówki 2 ml</w:t>
      </w:r>
      <w:r w:rsidR="001B6A4C">
        <w:t>)</w:t>
      </w:r>
      <w:r w:rsidR="00413E0D">
        <w:t xml:space="preserve"> oraz 2x</w:t>
      </w:r>
      <w:r w:rsidR="006757F0">
        <w:t xml:space="preserve"> </w:t>
      </w:r>
      <w:r w:rsidR="00413E0D">
        <w:t xml:space="preserve">96 </w:t>
      </w:r>
      <w:r w:rsidR="006E5BCD">
        <w:t>(</w:t>
      </w:r>
      <w:r w:rsidR="001B6A4C">
        <w:t>w formie płytki z 96 probówkami</w:t>
      </w:r>
      <w:r w:rsidR="006E5BCD">
        <w:t xml:space="preserve"> </w:t>
      </w:r>
      <w:r w:rsidR="00413E0D">
        <w:t>1,2 ml</w:t>
      </w:r>
      <w:r w:rsidR="006E5BCD">
        <w:t>)</w:t>
      </w:r>
      <w:r w:rsidR="0002637A">
        <w:t xml:space="preserve"> (statywy 2x24x2ml i 2x96x1,2 ml dołączone do urządzenia)</w:t>
      </w:r>
    </w:p>
    <w:p w14:paraId="46AE7EBA" w14:textId="49121B7A" w:rsidR="00413E0D" w:rsidRDefault="00176C49" w:rsidP="007059C0">
      <w:pPr>
        <w:pStyle w:val="Akapitzlist"/>
        <w:numPr>
          <w:ilvl w:val="0"/>
          <w:numId w:val="3"/>
        </w:numPr>
        <w:spacing w:after="120" w:line="240" w:lineRule="auto"/>
      </w:pPr>
      <w:r w:rsidRPr="00176C49">
        <w:t xml:space="preserve">Wymiary zewnętrzne (szer. x gł. x wys.) nie większe niż </w:t>
      </w:r>
      <w:r w:rsidR="006F1E14">
        <w:t>37,1</w:t>
      </w:r>
      <w:r w:rsidRPr="00176C49">
        <w:t xml:space="preserve"> x 4</w:t>
      </w:r>
      <w:r w:rsidR="006F1E14">
        <w:t>6,1</w:t>
      </w:r>
      <w:r w:rsidRPr="00176C49">
        <w:t xml:space="preserve"> x 2</w:t>
      </w:r>
      <w:r w:rsidR="006F1E14">
        <w:t>6,6</w:t>
      </w:r>
      <w:r w:rsidRPr="00176C49">
        <w:t xml:space="preserve"> cm</w:t>
      </w:r>
      <w:r w:rsidR="002F16D9">
        <w:t xml:space="preserve"> </w:t>
      </w:r>
      <w:r w:rsidR="002F16D9" w:rsidRPr="000D7786">
        <w:t xml:space="preserve"> (524 mm </w:t>
      </w:r>
      <w:r w:rsidR="002F16D9">
        <w:t>z podniesioną klapą</w:t>
      </w:r>
      <w:r w:rsidR="002F16D9" w:rsidRPr="000D7786">
        <w:t>)</w:t>
      </w:r>
      <w:r w:rsidRPr="00176C49">
        <w:t xml:space="preserve">, </w:t>
      </w:r>
    </w:p>
    <w:p w14:paraId="55A19F04" w14:textId="0F796E98" w:rsidR="00413E0D" w:rsidRDefault="00176C49" w:rsidP="007059C0">
      <w:pPr>
        <w:pStyle w:val="Akapitzlist"/>
        <w:numPr>
          <w:ilvl w:val="0"/>
          <w:numId w:val="3"/>
        </w:numPr>
        <w:spacing w:after="120" w:line="240" w:lineRule="auto"/>
      </w:pPr>
      <w:r w:rsidRPr="00176C49">
        <w:t xml:space="preserve">waga nie większa </w:t>
      </w:r>
      <w:r w:rsidR="007059C0" w:rsidRPr="00176C49">
        <w:t xml:space="preserve">niż </w:t>
      </w:r>
      <w:r w:rsidR="007059C0">
        <w:t>26</w:t>
      </w:r>
      <w:r w:rsidRPr="00176C49">
        <w:t xml:space="preserve"> kg</w:t>
      </w:r>
      <w:r w:rsidR="00413E0D">
        <w:t xml:space="preserve"> (bez statywów)</w:t>
      </w:r>
      <w:r w:rsidRPr="00176C49">
        <w:t xml:space="preserve">. </w:t>
      </w:r>
    </w:p>
    <w:p w14:paraId="345E4162" w14:textId="5B869F85" w:rsidR="00E30796" w:rsidRDefault="00E30796" w:rsidP="007059C0">
      <w:pPr>
        <w:pStyle w:val="Akapitzlist"/>
        <w:numPr>
          <w:ilvl w:val="0"/>
          <w:numId w:val="3"/>
        </w:numPr>
        <w:spacing w:after="120" w:line="240" w:lineRule="auto"/>
      </w:pPr>
      <w:r>
        <w:t>Możliwość pracy przy wilgotności względnej powietrza wynoszącej 80% przy temperaturze do 31</w:t>
      </w:r>
      <w:r w:rsidRPr="007059C0">
        <w:rPr>
          <w:rFonts w:cstheme="minorHAnsi"/>
        </w:rPr>
        <w:t>°</w:t>
      </w:r>
      <w:r>
        <w:t>C</w:t>
      </w:r>
    </w:p>
    <w:p w14:paraId="1EFF19C8" w14:textId="39B06DB4" w:rsidR="00B5151C" w:rsidRDefault="00B5151C" w:rsidP="007059C0">
      <w:pPr>
        <w:pStyle w:val="Akapitzlist"/>
        <w:numPr>
          <w:ilvl w:val="0"/>
          <w:numId w:val="3"/>
        </w:numPr>
        <w:spacing w:after="120" w:line="240" w:lineRule="auto"/>
      </w:pPr>
      <w:r>
        <w:t xml:space="preserve">Poziom hałasu zależy od materiału rozdrabnianego i może wynosić do </w:t>
      </w:r>
      <w:r w:rsidRPr="000D7786">
        <w:t>71</w:t>
      </w:r>
      <w:r>
        <w:t>,</w:t>
      </w:r>
      <w:r w:rsidRPr="000D7786">
        <w:t xml:space="preserve">4 </w:t>
      </w:r>
      <w:proofErr w:type="spellStart"/>
      <w:r w:rsidRPr="000D7786">
        <w:t>dB</w:t>
      </w:r>
      <w:proofErr w:type="spellEnd"/>
      <w:r w:rsidRPr="000D7786">
        <w:t>(A)</w:t>
      </w:r>
      <w:r>
        <w:t xml:space="preserve">. Przeciętnie przy zamkniętej klapie poziom hałasu emitowany do otoczenia nie powinien przekraczać </w:t>
      </w:r>
      <w:r w:rsidRPr="000D7786">
        <w:t xml:space="preserve">61 </w:t>
      </w:r>
      <w:proofErr w:type="spellStart"/>
      <w:r w:rsidRPr="000D7786">
        <w:t>dB</w:t>
      </w:r>
      <w:proofErr w:type="spellEnd"/>
      <w:r w:rsidRPr="000D7786">
        <w:t>(A)</w:t>
      </w:r>
    </w:p>
    <w:p w14:paraId="3B8CC494" w14:textId="648005D7" w:rsidR="00B5151C" w:rsidRDefault="00B5151C" w:rsidP="007059C0">
      <w:pPr>
        <w:pStyle w:val="Akapitzlist"/>
        <w:numPr>
          <w:ilvl w:val="0"/>
          <w:numId w:val="3"/>
        </w:numPr>
        <w:spacing w:after="120" w:line="240" w:lineRule="auto"/>
      </w:pPr>
      <w:r w:rsidRPr="00D63E6A">
        <w:t>Do urządzenia muszą być dostępne gotowe, wystandaryzowane przez producenta protokoły homogenizacji i izolacji DNA i RNA z różnych materiałów wyjściowych takich jak komórki oraz tkanki ludzkie i zwierzęce, roślinne, bakterie, grzyby i in.</w:t>
      </w:r>
    </w:p>
    <w:p w14:paraId="05C2DD9F" w14:textId="77777777" w:rsidR="005E7234" w:rsidRDefault="005E7234" w:rsidP="005E7234">
      <w:pPr>
        <w:pStyle w:val="Akapitzlist"/>
        <w:spacing w:after="120" w:line="240" w:lineRule="auto"/>
      </w:pPr>
    </w:p>
    <w:p w14:paraId="1FBCD4E3" w14:textId="774FBDAC" w:rsidR="005E7234" w:rsidRPr="00E55842" w:rsidRDefault="005E7234" w:rsidP="005E7234">
      <w:pPr>
        <w:pStyle w:val="Akapitzlist"/>
        <w:spacing w:after="120" w:line="240" w:lineRule="auto"/>
        <w:rPr>
          <w:u w:val="single"/>
        </w:rPr>
      </w:pPr>
      <w:r w:rsidRPr="00E55842">
        <w:rPr>
          <w:u w:val="single"/>
        </w:rPr>
        <w:t>Pozostałe wymagania:</w:t>
      </w:r>
    </w:p>
    <w:p w14:paraId="492C77C7" w14:textId="77777777" w:rsidR="005E7234" w:rsidRDefault="005E7234" w:rsidP="005E7234">
      <w:pPr>
        <w:pStyle w:val="Akapitzlist"/>
        <w:spacing w:after="120" w:line="240" w:lineRule="auto"/>
      </w:pPr>
    </w:p>
    <w:p w14:paraId="49FBF6B7" w14:textId="1BD529D4" w:rsidR="005E7234" w:rsidRDefault="005E7234" w:rsidP="005E7234">
      <w:pPr>
        <w:pStyle w:val="Akapitzlist"/>
        <w:spacing w:after="120" w:line="240" w:lineRule="auto"/>
      </w:pPr>
      <w:r>
        <w:t xml:space="preserve"> - Gwarancja- 12 m-cy,</w:t>
      </w:r>
    </w:p>
    <w:p w14:paraId="0A3048D4" w14:textId="7966934D" w:rsidR="00E55842" w:rsidRDefault="00E55842" w:rsidP="005E7234">
      <w:pPr>
        <w:pStyle w:val="Akapitzlist"/>
        <w:spacing w:after="120" w:line="240" w:lineRule="auto"/>
      </w:pPr>
      <w:r>
        <w:t xml:space="preserve"> - Przeszkolenie przez serwisantów posiadających autoryzacje producenta,</w:t>
      </w:r>
    </w:p>
    <w:p w14:paraId="2A3FBDD1" w14:textId="2C01F736" w:rsidR="005E7234" w:rsidRDefault="00035075" w:rsidP="005E7234">
      <w:pPr>
        <w:pStyle w:val="Akapitzlist"/>
        <w:spacing w:after="120" w:line="240" w:lineRule="auto"/>
      </w:pPr>
      <w:r>
        <w:t xml:space="preserve"> </w:t>
      </w:r>
    </w:p>
    <w:p w14:paraId="225E4114" w14:textId="77777777" w:rsidR="00E8239B" w:rsidRDefault="00452218" w:rsidP="007059C0">
      <w:bookmarkStart w:id="0" w:name="_GoBack"/>
      <w:bookmarkEnd w:id="0"/>
    </w:p>
    <w:sectPr w:rsidR="00E8239B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F7A96F3" w14:textId="77777777" w:rsidR="00452218" w:rsidRDefault="00452218" w:rsidP="00A52466">
      <w:pPr>
        <w:spacing w:after="0" w:line="240" w:lineRule="auto"/>
      </w:pPr>
      <w:r>
        <w:separator/>
      </w:r>
    </w:p>
  </w:endnote>
  <w:endnote w:type="continuationSeparator" w:id="0">
    <w:p w14:paraId="4395EAD0" w14:textId="77777777" w:rsidR="00452218" w:rsidRDefault="00452218" w:rsidP="00A524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84778C4" w14:textId="77777777" w:rsidR="00452218" w:rsidRDefault="00452218" w:rsidP="00A52466">
      <w:pPr>
        <w:spacing w:after="0" w:line="240" w:lineRule="auto"/>
      </w:pPr>
      <w:r>
        <w:separator/>
      </w:r>
    </w:p>
  </w:footnote>
  <w:footnote w:type="continuationSeparator" w:id="0">
    <w:p w14:paraId="37B05A44" w14:textId="77777777" w:rsidR="00452218" w:rsidRDefault="00452218" w:rsidP="00A524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632" w:type="dxa"/>
      <w:tblInd w:w="-743" w:type="dxa"/>
      <w:tblLayout w:type="fixed"/>
      <w:tblLook w:val="04A0" w:firstRow="1" w:lastRow="0" w:firstColumn="1" w:lastColumn="0" w:noHBand="0" w:noVBand="1"/>
    </w:tblPr>
    <w:tblGrid>
      <w:gridCol w:w="3686"/>
      <w:gridCol w:w="6379"/>
      <w:gridCol w:w="567"/>
    </w:tblGrid>
    <w:tr w:rsidR="00A52466" w:rsidRPr="008028D5" w14:paraId="52DCC998" w14:textId="77777777" w:rsidTr="00990C7D">
      <w:trPr>
        <w:trHeight w:val="1418"/>
      </w:trPr>
      <w:tc>
        <w:tcPr>
          <w:tcW w:w="3686" w:type="dxa"/>
          <w:shd w:val="clear" w:color="auto" w:fill="auto"/>
          <w:vAlign w:val="center"/>
        </w:tcPr>
        <w:p w14:paraId="57BAB770" w14:textId="77777777" w:rsidR="00A52466" w:rsidRPr="00CE69D9" w:rsidRDefault="00A52466" w:rsidP="00A52466">
          <w:pPr>
            <w:jc w:val="right"/>
            <w:rPr>
              <w:rFonts w:ascii="Bookman Old Style" w:hAnsi="Bookman Old Style"/>
              <w:color w:val="00B050"/>
              <w:sz w:val="16"/>
              <w:szCs w:val="16"/>
            </w:rPr>
          </w:pPr>
          <w:r>
            <w:rPr>
              <w:noProof/>
              <w:lang w:eastAsia="pl-PL"/>
            </w:rPr>
            <w:drawing>
              <wp:inline distT="0" distB="0" distL="0" distR="0" wp14:anchorId="7B2EA1DC" wp14:editId="4704665D">
                <wp:extent cx="1809750" cy="1019175"/>
                <wp:effectExtent l="0" t="0" r="0" b="9525"/>
                <wp:docPr id="1" name="Obraz 1" descr="FITOEXPORT (2)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FITOEXPORT (2)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09750" cy="10191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379" w:type="dxa"/>
          <w:tcBorders>
            <w:right w:val="single" w:sz="4" w:space="0" w:color="FFFFFF"/>
          </w:tcBorders>
          <w:shd w:val="clear" w:color="auto" w:fill="auto"/>
          <w:vAlign w:val="center"/>
        </w:tcPr>
        <w:p w14:paraId="311C155C" w14:textId="77777777" w:rsidR="00A52466" w:rsidRDefault="00A52466" w:rsidP="00A52466">
          <w:pPr>
            <w:jc w:val="right"/>
            <w:rPr>
              <w:rFonts w:ascii="Bookman Old Style" w:hAnsi="Bookman Old Style"/>
              <w:b/>
              <w:color w:val="00B050"/>
              <w:sz w:val="16"/>
              <w:szCs w:val="16"/>
            </w:rPr>
          </w:pPr>
        </w:p>
        <w:p w14:paraId="1D6C43D0" w14:textId="77777777" w:rsidR="00A52466" w:rsidRPr="007E01D5" w:rsidRDefault="00A52466" w:rsidP="00A52466">
          <w:pPr>
            <w:jc w:val="right"/>
            <w:rPr>
              <w:rFonts w:ascii="Bookman Old Style" w:hAnsi="Bookman Old Style"/>
              <w:b/>
              <w:color w:val="00B050"/>
              <w:sz w:val="16"/>
              <w:szCs w:val="16"/>
            </w:rPr>
          </w:pPr>
          <w:r w:rsidRPr="007E01D5">
            <w:rPr>
              <w:rFonts w:ascii="Bookman Old Style" w:hAnsi="Bookman Old Style"/>
              <w:b/>
              <w:color w:val="00B050"/>
              <w:sz w:val="16"/>
              <w:szCs w:val="16"/>
            </w:rPr>
            <w:t>Projekt: „Zwiększenie konkurencyjności polskich towarów roślinnych na rynkach międzynarodowych poprzez podniesienie ich jakości i bezpieczeństwa fitosanitarnego”</w:t>
          </w:r>
        </w:p>
        <w:p w14:paraId="5D7250C9" w14:textId="77777777" w:rsidR="00A52466" w:rsidRPr="007E01D5" w:rsidRDefault="00A52466" w:rsidP="00A52466">
          <w:pPr>
            <w:pStyle w:val="Stopka"/>
            <w:jc w:val="right"/>
            <w:rPr>
              <w:rFonts w:ascii="Bookman Old Style" w:hAnsi="Bookman Old Style"/>
              <w:sz w:val="16"/>
              <w:szCs w:val="16"/>
            </w:rPr>
          </w:pPr>
        </w:p>
        <w:p w14:paraId="05922124" w14:textId="77777777" w:rsidR="00A52466" w:rsidRPr="008028D5" w:rsidRDefault="00A52466" w:rsidP="00A52466">
          <w:pPr>
            <w:pStyle w:val="Stopka"/>
            <w:jc w:val="right"/>
            <w:rPr>
              <w:rFonts w:ascii="Bookman Old Style" w:hAnsi="Bookman Old Style"/>
              <w:b/>
              <w:color w:val="00B050"/>
              <w:sz w:val="18"/>
              <w:szCs w:val="18"/>
            </w:rPr>
          </w:pPr>
          <w:r w:rsidRPr="007E01D5">
            <w:rPr>
              <w:rFonts w:ascii="Bookman Old Style" w:hAnsi="Bookman Old Style"/>
              <w:sz w:val="16"/>
              <w:szCs w:val="16"/>
            </w:rPr>
            <w:t xml:space="preserve">Nr Umowy o wykonanie i finansowanie Projektu: </w:t>
          </w:r>
          <w:r w:rsidRPr="007E01D5">
            <w:rPr>
              <w:rFonts w:ascii="Bookman Old Style" w:hAnsi="Bookman Old Style"/>
              <w:b/>
              <w:sz w:val="16"/>
              <w:szCs w:val="16"/>
            </w:rPr>
            <w:t>Gospostrateg1/385957/5/NCBR/2018</w:t>
          </w:r>
        </w:p>
      </w:tc>
      <w:tc>
        <w:tcPr>
          <w:tcW w:w="567" w:type="dxa"/>
          <w:tcBorders>
            <w:left w:val="single" w:sz="4" w:space="0" w:color="FFFFFF"/>
          </w:tcBorders>
          <w:shd w:val="clear" w:color="auto" w:fill="auto"/>
          <w:vAlign w:val="center"/>
        </w:tcPr>
        <w:p w14:paraId="520E07B1" w14:textId="77777777" w:rsidR="00A52466" w:rsidRPr="007E01D5" w:rsidRDefault="00A52466" w:rsidP="00A52466">
          <w:pPr>
            <w:jc w:val="right"/>
            <w:rPr>
              <w:rFonts w:ascii="Bookman Old Style" w:hAnsi="Bookman Old Style"/>
              <w:b/>
              <w:color w:val="00B050"/>
              <w:sz w:val="16"/>
              <w:szCs w:val="16"/>
            </w:rPr>
          </w:pPr>
        </w:p>
        <w:p w14:paraId="7F49F22E" w14:textId="77777777" w:rsidR="00A52466" w:rsidRPr="008028D5" w:rsidRDefault="00A52466" w:rsidP="00A52466">
          <w:pPr>
            <w:pStyle w:val="Stopka"/>
            <w:jc w:val="right"/>
            <w:rPr>
              <w:rFonts w:ascii="Bookman Old Style" w:hAnsi="Bookman Old Style"/>
              <w:b/>
              <w:color w:val="00B050"/>
              <w:sz w:val="18"/>
              <w:szCs w:val="18"/>
            </w:rPr>
          </w:pPr>
        </w:p>
      </w:tc>
    </w:tr>
  </w:tbl>
  <w:p w14:paraId="43DD1CC9" w14:textId="77777777" w:rsidR="00A52466" w:rsidRDefault="00A5246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6C52C9"/>
    <w:multiLevelType w:val="hybridMultilevel"/>
    <w:tmpl w:val="3B0EEC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F546C7"/>
    <w:multiLevelType w:val="hybridMultilevel"/>
    <w:tmpl w:val="12BE79E4"/>
    <w:lvl w:ilvl="0" w:tplc="0415000F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41077640"/>
    <w:multiLevelType w:val="hybridMultilevel"/>
    <w:tmpl w:val="A0FA49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6C49"/>
    <w:rsid w:val="00013842"/>
    <w:rsid w:val="0002637A"/>
    <w:rsid w:val="00035075"/>
    <w:rsid w:val="0004401A"/>
    <w:rsid w:val="00176C49"/>
    <w:rsid w:val="001B62CC"/>
    <w:rsid w:val="001B6A4C"/>
    <w:rsid w:val="002F16D9"/>
    <w:rsid w:val="00413E0D"/>
    <w:rsid w:val="00452218"/>
    <w:rsid w:val="005D38D0"/>
    <w:rsid w:val="005E7234"/>
    <w:rsid w:val="006757F0"/>
    <w:rsid w:val="006E5BCD"/>
    <w:rsid w:val="006F1E14"/>
    <w:rsid w:val="006F24FE"/>
    <w:rsid w:val="007059C0"/>
    <w:rsid w:val="00862007"/>
    <w:rsid w:val="009463D0"/>
    <w:rsid w:val="00971EF3"/>
    <w:rsid w:val="00A1734D"/>
    <w:rsid w:val="00A52466"/>
    <w:rsid w:val="00B5151C"/>
    <w:rsid w:val="00B76CE8"/>
    <w:rsid w:val="00C00216"/>
    <w:rsid w:val="00C06584"/>
    <w:rsid w:val="00CC6524"/>
    <w:rsid w:val="00CE46B5"/>
    <w:rsid w:val="00D95D47"/>
    <w:rsid w:val="00DC5C10"/>
    <w:rsid w:val="00E0055F"/>
    <w:rsid w:val="00E30796"/>
    <w:rsid w:val="00E51632"/>
    <w:rsid w:val="00E55842"/>
    <w:rsid w:val="00EC0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8BFA9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F16D9"/>
    <w:pPr>
      <w:spacing w:after="200" w:line="276" w:lineRule="auto"/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A524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52466"/>
  </w:style>
  <w:style w:type="paragraph" w:styleId="Stopka">
    <w:name w:val="footer"/>
    <w:basedOn w:val="Normalny"/>
    <w:link w:val="StopkaZnak"/>
    <w:uiPriority w:val="99"/>
    <w:unhideWhenUsed/>
    <w:rsid w:val="00A524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52466"/>
  </w:style>
  <w:style w:type="paragraph" w:styleId="Tekstdymka">
    <w:name w:val="Balloon Text"/>
    <w:basedOn w:val="Normalny"/>
    <w:link w:val="TekstdymkaZnak"/>
    <w:uiPriority w:val="99"/>
    <w:semiHidden/>
    <w:unhideWhenUsed/>
    <w:rsid w:val="00A5246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52466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F16D9"/>
    <w:pPr>
      <w:spacing w:after="200" w:line="276" w:lineRule="auto"/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A524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52466"/>
  </w:style>
  <w:style w:type="paragraph" w:styleId="Stopka">
    <w:name w:val="footer"/>
    <w:basedOn w:val="Normalny"/>
    <w:link w:val="StopkaZnak"/>
    <w:uiPriority w:val="99"/>
    <w:unhideWhenUsed/>
    <w:rsid w:val="00A524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52466"/>
  </w:style>
  <w:style w:type="paragraph" w:styleId="Tekstdymka">
    <w:name w:val="Balloon Text"/>
    <w:basedOn w:val="Normalny"/>
    <w:link w:val="TekstdymkaZnak"/>
    <w:uiPriority w:val="99"/>
    <w:semiHidden/>
    <w:unhideWhenUsed/>
    <w:rsid w:val="00A5246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5246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247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Konrad Dełeńko</dc:creator>
  <cp:lastModifiedBy>Krystyna Żurek</cp:lastModifiedBy>
  <cp:revision>8</cp:revision>
  <dcterms:created xsi:type="dcterms:W3CDTF">2019-05-30T13:38:00Z</dcterms:created>
  <dcterms:modified xsi:type="dcterms:W3CDTF">2019-06-21T09:02:00Z</dcterms:modified>
</cp:coreProperties>
</file>