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UMOWA Nr ………..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Zawarta w dniu………………………… w  …………………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pomiędzy:</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Instytutem Hodowli i Aklimatyzacji Roślin – Państwowy Instytut Badawczy – Zakład Doświadczalny Bartążek z siedzibą w Bartążku, ul. Warmiński Las 46, 10-687 Olsztyn, REGON: 000079480</w:t>
        <w:tab/>
        <w:t xml:space="preserve">, NIP: 5290007029 wpisanym do rejestru KRS pod numerem 0000074008</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00" w:before="24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reprezentowanym przez:</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24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Ryszarda Kostrzewskiego – Dyrektora Zakładu Doświadczalnego Bartążek</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00" w:before="24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zwanego dalej „Zamawiającym”,</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firmą/ osobą fizyczną prowadzącą działalność gospodarczą pod firmą*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 siedzibą w ................................, przy ul. .................................. nr ......., numer KRS*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NIP ……………….., REGON ………………….., PESEL* ………………………….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reprezentowaną przez:</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zwaną dalej „Wykonawcą”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łącznie zwanych Stronami, o następującej treści:</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1</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Cel umowy</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28"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Umowa jest wynikiem przeprowadzonego postępowania o udzielenie zamówienia publicznego na dostawy, w trybie przetargu nieograniczonego na podstawie ustawy z dnia 29 stycznia 2004 r. – Prawo zamówień publicznych (t.j. Dz.U. z 2018 r. poz. 1986 z późn. zm.) o wartości poniżej kwot określonych w przepisach wydanych na podstawie art. 11 ust. 8 ustawy Pzp, na:</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28"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28"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"Sukcesywną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dostawę środków ochrony roślin, bioregulatorów i nawozów do zastosowania w uprawach polowych Zakładu Doświadczalnego w Bartążku w sezonie jesień 2019”,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nr ogłoszenia w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BZP: </w:t>
      </w:r>
      <w:r w:rsidDel="00000000" w:rsidR="00000000" w:rsidRPr="00000000">
        <w:rPr>
          <w:sz w:val="24"/>
          <w:szCs w:val="24"/>
          <w:rtl w:val="0"/>
        </w:rPr>
        <w:t xml:space="preserve">574783-N-2019</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z</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dnia 17 lipca 2019 roku; znak sprawy: ZP/PN/2/2019, na podstawie którego Zamawiający dokonał wyboru oferty złożonej przez Wykonawcę i udzielił zamówienia publicznego stanowiącego przedmiot niniejszej Umowy.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2</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Przedmiot umowy</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0" w:line="276" w:lineRule="auto"/>
        <w:ind w:left="0" w:right="6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Przedmiotem umowy jest dostawa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dla potrzeb Instytutu Hodowli i Aklimatyzacji Roślin Państwowego Instytutu Badawczego Zakład Doświadczalny Bartążek, w ilości i asortymencie określonym w ofercie, zgodnie z warunkami określonymi w niniejszej umowie, warunkach SIWZ oraz ogłoszenia w BZP nr: ……………... Przedmiotem niniejszej umowy są:</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Części nr ..... pn.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3</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Warunki dostawy</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Zamówienie realizowane będzie na potrzeby Instytutu Hodowli i Aklimatyzacji Roślin Państwowego Instytutu Badawczego Zakład Doświadczalny Bartążek, adres: ul. Warmiński Las 46, 10-687 Olsztyn.</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Wykonawca zobowiąże się do dostawy przedmiotu zamówienia o którym mowa w § 2 do siedziby zamawiającego lub na inny wskazany przez zamawiającego adres. Cena wskazana w ofercie obejmuje koszty dostawy przedmiotu zamówienia.</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Odbiór każdej partii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zostanie potwierdzony protokołem zdawczo-odbiorczym podpisanym przez Zamawiającego (przez osoby upoważnione w ramach danej jednostki organizacyjnej Zamawiającego) i Wykonawcę w dwóch jednobrzmiących egzemplarzach, jeden dla Wykonawcy, drugi dla Zamawiającego.</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Wraz z dostawą zamówionej partii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Zamawiającego Wykonawca dostarczy:</w:t>
      </w:r>
    </w:p>
    <w:p w:rsidR="00000000" w:rsidDel="00000000" w:rsidP="00000000" w:rsidRDefault="00000000" w:rsidRPr="00000000" w14:paraId="0000003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fakturę VAT ze wskazaniem jednostki zamawiającej i specyfikacją dostawy określającej ilość i rodzaj dostarczonych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instrukcję przechowywania (magazynowania) w języku polskim odrębnie dla każdego z dostarczanych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Wykonawca zagwarantuje, że dostarczane w ramach umowy produkty są pełnowartościowe, dobrej jakości, w nieuszkodzonych opakowaniach, pozbawione wad oraz zgodne z obowiązującymi normami.</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 przypadku dostarczenia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niezgodnych z opisem podanym w formularzu oferty złożonym wraz z ofertą, nie spełniających wymagań określonych w SIWZ, złej jakości, uszkodzonych lub w inny sposób wadliwych, nie zostaną one odebrane przez zamawiającego. Wykonawca zobowiązuje się na żądanie Zamawiającego do ich wymiany na pozbawione wad, zgodne z wymogami zamówienia, spełniające wymagania SIWZ i zgodne z obowiązującymi normami w terminie 7 dni od dnia przesłania żądania Zamawiającego drogą poczty elektronicznej e-mail lub faksem. Brak realizacji dostawy w tym terminie uprawnia Zamawiającego do odstąpienia od umowy z winy Wykonawcy.</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Wykonawcy ciąży odpowiedzialność z tytułu uszkodzenia lub utraty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aż do chwili potwierdzenia ich odbioru przez Zamawiającego.</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zobowiązuje się do podania kontaktu do osoby, która w związku z niniejszym zamówieniem będzie odpowiedzialna po stronie wykonawcy za nadzór agrotechniczny i realizację umowy.</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Osoba odpowiedzialna po stronie wykonawcy za nadzór agrotechniczny i realizację umowy</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imię i nazwisko: ……………………………………., tel.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Zamawiający zobowiązuje się do podania kontaktu do osoby, która w związku z niniejszym zamówieniem będzie koordynowała zamówienia i będzie upoważniona do podpisywania faktur VAT po stronie Zamawiającego.</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Osoba koordynująca zamówienie i upoważniona do podpisywania faktur VAT po stronie Zamawiającego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imię i nazwisko: ……………………………………., tel.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Zamawiający może zwolnić Wykonawcę od obowiązku wskazanego w ust. 9 Umowy. Zwolnienie od obowiązku Zamawiający potwierdza na piśmie pod rygorem nieważności.</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Informacje znajdujące się na opakowaniu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winny być w języku polskim. W przypadku informacji w języku innym niż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wymieniony powyżej wraz z dostawą tego </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środka ochrony roślin, bioregulatora bądź nawozu</w:t>
      </w: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 będzie dostarczone podpisane przez Wykonawcę</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tłumaczenie na język polski.</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zobowiązuje się do odbioru opakowań po zużytych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środkach ochrony roślin, bioregulatorach i nawozach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4</w:t>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Termin realizacji</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Umowa zostaje zawarta na czas określony, tj. do dnia 31 sierpnia 2019 roku.</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Przedmioty umowy o których mowa w § 2</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ma obowiązek dostarczyć Zamawiającemu do dnia 31 sierpnia 2019 roku od daty podpisania umowy, z zastrzeżeniem, że będą one dostarczane sukcesywnie i w zależności od potrzeb zamawiającego w okresie od dnia podpisania umowy do dnia 31 sierpnia 2019 roku, transportem wykonawcy i na jego ryzyko. </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567" w:right="0" w:hanging="425"/>
        <w:jc w:val="both"/>
        <w:rPr>
          <w:rFonts w:ascii="Times New Roman" w:cs="Times New Roman" w:eastAsia="Times New Roman" w:hAnsi="Times New Roman"/>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potrzebie dostarczenia kolejnej partii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Zamawiający zawiadomi Wykonawcę telefonicznie i następnie potwierdzi zamówienie za pomocą poczty elektronicznej e-mail lub faksu.</w:t>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502" w:right="0" w:hanging="360"/>
        <w:jc w:val="both"/>
        <w:rPr>
          <w:rFonts w:ascii="Times New Roman" w:cs="Times New Roman" w:eastAsia="Times New Roman" w:hAnsi="Times New Roman"/>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Termin dostawy zamówionej partii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środków ochrony roślin, bioregulatorów i nawozów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może być dłuższy niż ….... roboczy (ilość dni zgodnie z ofertą Wykonawcy) liczone od dnia wysłania przez zamawiającego potwierdzenia zamówienia drogą poczty elektronicznej e-mail lub faksem.</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Wykonawca zobowiązuje się do dostarczenia zamówionej partii przedmiotu umowy w terminie........ dni od dnia wysłania przez zamawiającego potwierdzenia zamówienia drogą poczty elektronicznej e-mail lub faksem.</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5</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Wartość umowy i warunki płatności</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Strony ustalają, że za wykonanie przedmiotu Umowy Zamawiający zapłaci Wykonawcy wynagrodzenie ustalone na podstawie oferty Wykonawcy. Wynagrodzenie to ustala się na kwotę:</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netto: …………….. zł (słownie: ……………………………………………….. złotych),</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brutto: ……………. zł (słownie: ………………………………………………. złotych),</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VAT: ………. %. </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Kwota wynagrodzenia, o którym mowa w ust. 1 dotyczy całościowej realizacji przedmiotu Umowy, o którym mowa w § 2, obejmuje wszystkie koszty związane z wykonaniem umowy i stanowi całkowite wynagrodzenie Wykonawcy.</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5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Wynagrodzenie Wykonawcy, o którym mowa w ust. 1 będzie płatne na podstawie faktury VAT wystawionej przez Wykonawcę w oparciu o protokół zdawczo-odbiorczy przedmiotu Umowy lub inny dokument przyjęcia dostawy przedmiotu Umowy zatwierdzony przez Zamawiającego.</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wystawienia kilku faktur VAT przez Wykonawcę, łączna wartość faktur VAT nie może przewyższać wynagrodzenia Wykonawcy określonego na podstawie § 5 ust. 1 Umowy, której wzór stanowi załącznik nr 2 do SIWZ.</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Termin płatności należności wynikających z faktur strony umowy ustalają na 60 dni od dnia wystawienia prawidłowo przez Wykonawcę faktury VAT. Wykonawca zrzeka się wobec Zamawiającego wszelkich mogących wyniknąć z tego faktu roszczeń i oświadcza, że taki termin płatności akceptuje. Strony ustalają, że niezależnie od ustaleń przeciwnych wiąże je termin płatności wskazany w niniejszej umowie. Jednocześnie Zamawiający oświadcza, że wydłużony termin płatności wynika z przyczyn od niego niezależnych, obiektywnych i będących bezpośrednią konsekwencją prowadzonej przez niego działalności, tj. działalność rolnicza/ produkcja rolna.</w:t>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Fakturę należy wystawiać na nabywcę: Instytut Hodowli i Aklimatyzacji Roślin – Państwowy Instytut Badawczy – Zakład Doświadczalny Bartążek z siedzibą w Bartążku, ul. Warmiński Las 46, 10-687 Olsztyn, REGON: 000079480, NIP: 5290007029 wpisany do rejestru KRS pod numerem 0000074008.</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dokonanie płatności w terminie uznaje się dzień obciążenia rachunku bankowego     Zamawiającego.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6</w:t>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Niewykonanie lub nienależyte wykonanie umowy</w:t>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568"/>
        </w:tabs>
        <w:spacing w:after="12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zwłoki Wykonawcy w realizacji przedmiotu zamówienia powodującej naruszenie terminu określonego w § 4 ust. 1, 4 i 5, Wykonawca będzie zobowiązany do zapłacenia kary umownej w wysokości 2 % łącznej wartości brutto danej partii zamówienia za każdy dzień zwłoki.</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568"/>
        </w:tabs>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zwłoka w dostawie danej partii zamówienia przekroczy 30 dni Zamawiający ma prawo odstąpić od umowy w terminie 30 dni od powzięcia informacji uzasadniających odstąpienie od umowy, a Wykonawca jest zobowiązany do zapłaty kary umownej w wysokości 10 % łącznej wartości brutto zamówienia.</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zapłaci Zamawiającemu karę umowną za odstąpienie od umowy z przyczyn leżących po stronie Wykonawcy w wysokości 10% wartości brutto przedmiotu umowy, o której jest mowa w § 5 ust.1 niniejszej umowy, w przypadku częściowego odstąpienia od umowy 10 % wartości brutto danej części. Przez winę wykonawcy rozumie się jakiekolwiek naruszenie obowiązków wynikających z umowy, a zwłaszcza naruszenie obowiązków wynikających z udzielonej gwarancji.</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hanging="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gdy kara umowna nie pokryje wyrządzonej szkody, Zamawiający uprawniony jest do dochodzenia odszkodowania przewyższającego wysokość zastrzeżonej kary umownej, na zasadach ogólnych, tj. zgodnie z ustawą z dnia 23 kwietnia 1964 roku - Kodeks Cywilny (t.j. Dz.U. z 2019 roku poz. 1145), zwaną dalej „Kodeksem Cywilnym”.</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Strony ustalają, iż kary umowne, o których mowa w niniejszej umowie, mogą być potrącone z wynagrodzenia należnego Wykonawcy, na co Wykonawca wyraża zgodę.</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Łączna wysokość kar umownych jakie Zamawiający może naliczyć Wykonawcy nie może przekroczyć 20% łącznego wynagrodzenia brutto określonego w § 5 ust.1. </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7</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Gwarancja jakości</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udziela Zamawiającemu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12-miesięcznej gwarancji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 dostarczone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środki ochrony roślin, bioregulatorów i nawozów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których mowa w § 2 Umowy. W ramach gwarancji Wykonawca zobowiązuje się do odbioru rzeczy wadliwej i dostarczenia rzeczy wolnej od wad.</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Gwarancja rozpoczyna swój bieg w stosunku do każdej kolejnej dostarczonej partii zamówienia od daty jej dostarczenia Zamawiającemu.</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0"/>
          <w:szCs w:val="2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wszelkich uwagach co do jakości przedmiotu umowy Zamawiający poinformuje Wykonawcę pisemnie, e-mailem bądź faksem po czym Wykonawca winien się ustosunkować do zgłoszonych uwag w terminie 7 dni od otrzymania powyższej informacji od Zamawiającego.</w:t>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Odbiór rzeczy wadliwej oraz dostawa rzeczy wolnej od wad w okresie gwarancji nastąpi transportem Wykonawcy na jego koszt i ryzyko.</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8</w:t>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Odstąpienie od umowy przez Zamawiającego</w:t>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a także w sytuacji opisanej w § 6 ust. 2 i 3, Zamawiający może odstąpić od umowy w terminie 30 dni od dnia powzięcia wiadomości o okolicznościach uzasadniających odstąpienie od umowy. </w:t>
      </w:r>
    </w:p>
    <w:p w:rsidR="00000000" w:rsidDel="00000000" w:rsidP="00000000" w:rsidRDefault="00000000" w:rsidRPr="00000000" w14:paraId="0000009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Zamawiający na podstawie art. 145a ustawy Prawo zamówień publicznych może rozwiązać umowę, jeżeli zachodzi co najmniej jedna z następujących okoliczności: </w:t>
      </w:r>
    </w:p>
    <w:p w:rsidR="00000000" w:rsidDel="00000000" w:rsidP="00000000" w:rsidRDefault="00000000" w:rsidRPr="00000000" w14:paraId="0000009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zmiana umowy została dokonana z naruszeniem art. 144 ust 1-1b, 1d, 1e ustawy Prawo zamówień publicznych,</w:t>
      </w:r>
    </w:p>
    <w:p w:rsidR="00000000" w:rsidDel="00000000" w:rsidP="00000000" w:rsidRDefault="00000000" w:rsidRPr="00000000" w14:paraId="0000009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w chwili zawarcia umowy podlegał wykluczeniu z postępowania na podstawie art. 24 ust 1 ustawy Prawo zamówień publicznych,</w:t>
      </w:r>
    </w:p>
    <w:p w:rsidR="00000000" w:rsidDel="00000000" w:rsidP="00000000" w:rsidRDefault="00000000" w:rsidRPr="00000000" w14:paraId="0000009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Trybuła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rsidR="00000000" w:rsidDel="00000000" w:rsidP="00000000" w:rsidRDefault="00000000" w:rsidRPr="00000000" w14:paraId="0000009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o którym mowa w ust. 1 i 2 Wykonawca może żądać wyłącznie wynagrodzenia należnego z tytułu wykonania części umowy.</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9</w:t>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Zmiana umowy</w:t>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Każda zmiana postanowień niniejszej umowy wymaga zgody obu Stron oraz formy pisemnej pod rygorem nieważności w postaci aneksu.</w:t>
      </w:r>
    </w:p>
    <w:p w:rsidR="00000000" w:rsidDel="00000000" w:rsidP="00000000" w:rsidRDefault="00000000" w:rsidRPr="00000000" w14:paraId="000000A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Zgodnie z art. 144 ust 1 pkt 1 ustawy Prawo zamówień publicznych, przewiduje się następujący zakres zmian zawartej umowy tj.: </w:t>
      </w:r>
    </w:p>
    <w:p w:rsidR="00000000" w:rsidDel="00000000" w:rsidP="00000000" w:rsidRDefault="00000000" w:rsidRPr="00000000" w14:paraId="000000A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zakresie przedmiotu umowy przewiduje się następujący zakres zmian: zmianę numeru katalogowego produktu, przy zachowaniu tego samego producenta produktu lub zmianę producenta dostarczanego rodzaju produktu, pod warunkiem, wprowadzenia przez Wykonawcę do sprzedaży produktu zmodyfikowanego, tj. udoskonalonego lub gdy wystąpi przejściowy brak przedmiotu umowy z przyczyn leżących po stronie producenta zaoferowanego rodzaju produktu, przy jednoczesnym zapewnieniu dostaw produktu zmiennego (fabrycznie nowego) o parametrach nie gorszych od produktu objętego umową, z zastrzeżeniem, że Wykonawca niezwłocznie dostarczy prawidłowy przedmiot umowy. </w:t>
      </w:r>
    </w:p>
    <w:p w:rsidR="00000000" w:rsidDel="00000000" w:rsidP="00000000" w:rsidRDefault="00000000" w:rsidRPr="00000000" w14:paraId="000000A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Times New Roman" w:cs="Times New Roman" w:eastAsia="Times New Roman" w:hAnsi="Times New Roman"/>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zakresie terminu realizacji dostaw przewiduje się następujący zakres zmian: w przypadku działania siły wyższej (tj. zdarzeń o charakterze przypadkowym, sprawczym, naturalnym np. klęski żywiołowej, powodzi itp.) mającej bezpośredni wpływ na terminowość wykonywanych dostaw; w przypadku wystąpienia okoliczności, których strony umowy nie były w stanie przewidzieć, pomimo zachowania należytej staranność; w przypadku tymczasowego braku środków finansowych zapewniających bezpieczne sfinansowanie zrealizowanego przez Wykonawcę zamówienia. </w:t>
      </w:r>
    </w:p>
    <w:p w:rsidR="00000000" w:rsidDel="00000000" w:rsidP="00000000" w:rsidRDefault="00000000" w:rsidRPr="00000000" w14:paraId="000000A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przedłużającego się postępowania o udzielenie zamówienia publicznego dopuszczalne jest stosowne wydłużenie terminu realizacji zamówienia, o którym mowa w § 4 ust. 1.</w:t>
      </w:r>
    </w:p>
    <w:p w:rsidR="00000000" w:rsidDel="00000000" w:rsidP="00000000" w:rsidRDefault="00000000" w:rsidRPr="00000000" w14:paraId="000000A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Zmiany umowy, o których mowa w ust 2 i 3 nie mogą skutkować zmianą ceny lub wartości umowy niekorzystnymi dla Zamawiającego.</w:t>
      </w:r>
    </w:p>
    <w:p w:rsidR="00000000" w:rsidDel="00000000" w:rsidP="00000000" w:rsidRDefault="00000000" w:rsidRPr="00000000" w14:paraId="000000A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Zmiany umowy, o których mowa w ust. 2 wymagają złożenia przez Wykonawcę pisemnego wniosku wraz uzasadnieniem i opisem proponowanych zmian. </w:t>
      </w:r>
    </w:p>
    <w:p w:rsidR="00000000" w:rsidDel="00000000" w:rsidP="00000000" w:rsidRDefault="00000000" w:rsidRPr="00000000" w14:paraId="000000A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 otrzymaniu propozycji zmian, Wykonawca albo Zamawiający (w zależności od przypadku) w terminie 3 dni zatwierdzi bądź odrzuci otrzymaną propozycję zmiany, bądź w tym terminie wystąpi do strony występującej z propozycją zmian przesyłając zmodyfikowaną propozycję zmian spełniającą wymogi opisane w ust. 2. Brak odpowiedzi jednej ze stron na propozycję zmian, poczytuje się w razie wątpliwości za brak wyrażenia zgody na tę zmianę. </w:t>
      </w:r>
    </w:p>
    <w:p w:rsidR="00000000" w:rsidDel="00000000" w:rsidP="00000000" w:rsidRDefault="00000000" w:rsidRPr="00000000" w14:paraId="000000A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Zmiana umowy dokonana z naruszeniem postanowień ust. 1 - 6 jest nieważna.</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10</w:t>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Przeniesienie obowiązków wynikających z Umowy</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Wykonawca powierza wykonanie niniejszego zamówienia podwykonawcom odpowiada on za działania lub zaniechania podwykonawców jak za działania lub zaniechania własne.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Wykonawca nie może dokonać przeniesienia swoich wierzytelności wobec Zamawiającego,  a wynikających z niniejszej Umowy na osoby lub podmioty trzecie bez uprzedniej zgody wyrażonej na piśmie przez Zamawiającego pod rygorem nieważności. Jakakolwiek cesja dokonana bez takiej zgody nie będzie ważna i stanowić będzie istotne naruszenie postanowień Umowy.</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11</w:t>
      </w: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Adresy Stron</w:t>
      </w: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trony wskazują następujące adresy do doręczeń:</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Ze strony Zamawiającego – adresy wskazane w § 3 ust. 1 Umowy,</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Ze strony Wykonawcy: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każdej zmianie adresu każda ze stron jest zobowiązana niezwłocznie powiadomić drugą stronę  w formie pisemnej – pod rygorem uznania za skutecznie doręczoną korespondencję kierowaną listem poleconym na adres wymieniony w ust. 1.</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12</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Postanowienia końcowe</w:t>
      </w: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Każda strona umowy powinna być parafowana przez osoby upoważnione do składania oświadczeń woli w imieniu Zamawiającego/Wykonawcy.</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sprawach nieuregulowanych niniejszą umową stosuje się odpowiednie przepisy Kodeksu Cywilnego oraz Prawa Zamówień Publicznych, wraz z przepisami odrębnymi mogącymi mieć zastosowanie do przedmiotu umowy.</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Wszelkie kwestie sporne rozpatrywane będą polubownie. W przypadku niemożności polubownego załatwienia sporu, zostanie on poddany pod rozstrzygnięcie przez sąd miejscowo właściwy dla Zamawiającego.</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Integralną część niniejszej umowy stanowi:</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oferta z dnia ………………….– Załącznik 1;</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360" w:right="0" w:hanging="360"/>
        <w:jc w:val="both"/>
        <w:rPr>
          <w:rFonts w:ascii="Times New Roman" w:cs="Times New Roman" w:eastAsia="Times New Roman" w:hAnsi="Times New Roman"/>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Umowa sporządzona została w 2 jednobrzmiących egzemplarzach, po jednym dla każdej ze stron.</w:t>
      </w: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ZAMAWIAJĄCY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ab/>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WYKONAWCA</w:t>
      </w: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ab/>
        <w:tab/>
        <w:tab/>
        <w:tab/>
        <w:t xml:space="preserve">…………………</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umowę podpisują osoby upoważnione do składania oświadczeń woli w imieniu  Zamawiającego/Wykonawcy.</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Załącznik:</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Oferta z dnia.....</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15019"/>
          <w:tab w:val="right" w:pos="19555"/>
        </w:tabs>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headerReference r:id="rId7" w:type="even"/>
      <w:footerReference r:id="rId8" w:type="default"/>
      <w:footerReference r:id="rId9" w:type="even"/>
      <w:pgSz w:h="16838" w:w="11906"/>
      <w:pgMar w:bottom="1134" w:top="1134" w:left="1361" w:right="136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Strona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z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załącznik nr 2 do SIWZ</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b w:val="0"/>
        <w:sz w:val="22"/>
        <w:szCs w:val="22"/>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360" w:hanging="360"/>
      </w:pPr>
      <w:rPr>
        <w:b w:val="0"/>
        <w:vertAlign w:val="baseline"/>
      </w:rPr>
    </w:lvl>
    <w:lvl w:ilvl="1">
      <w:start w:val="1"/>
      <w:numFmt w:val="decimal"/>
      <w:lvlText w:val="%2)"/>
      <w:lvlJc w:val="left"/>
      <w:pPr>
        <w:ind w:left="1680" w:hanging="60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502" w:hanging="360"/>
      </w:pPr>
      <w:rPr>
        <w:b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1">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name w:val="Normalny"/>
    <w:next w:val="Normalny"/>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pl-PL" w:val="pl-PL"/>
    </w:rPr>
  </w:style>
  <w:style w:type="paragraph" w:styleId="Nagłówek2">
    <w:name w:val="Nagłówek 2"/>
    <w:basedOn w:val="Normalny"/>
    <w:next w:val="Normalny"/>
    <w:autoRedefine w:val="0"/>
    <w:hidden w:val="0"/>
    <w:qFormat w:val="0"/>
    <w:pPr>
      <w:keepNext w:val="1"/>
      <w:numPr>
        <w:ilvl w:val="1"/>
        <w:numId w:val="4"/>
      </w:numPr>
      <w:suppressAutoHyphens w:val="0"/>
      <w:spacing w:after="60" w:before="240" w:line="1" w:lineRule="atLeast"/>
      <w:ind w:leftChars="-1" w:rightChars="0" w:firstLineChars="-1"/>
      <w:textDirection w:val="btLr"/>
      <w:textAlignment w:val="top"/>
      <w:outlineLvl w:val="1"/>
    </w:pPr>
    <w:rPr>
      <w:rFonts w:ascii="Arial" w:cs="Arial" w:hAnsi="Arial"/>
      <w:b w:val="1"/>
      <w:bCs w:val="1"/>
      <w:i w:val="1"/>
      <w:iCs w:val="1"/>
      <w:w w:val="100"/>
      <w:position w:val="-1"/>
      <w:sz w:val="28"/>
      <w:szCs w:val="28"/>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paragraph" w:styleId="Tytuł">
    <w:name w:val="Tytuł"/>
    <w:basedOn w:val="Normalny"/>
    <w:next w:val="Tytuł"/>
    <w:autoRedefine w:val="0"/>
    <w:hidden w:val="0"/>
    <w:qFormat w:val="0"/>
    <w:pPr>
      <w:suppressAutoHyphens w:val="1"/>
      <w:spacing w:line="1" w:lineRule="atLeast"/>
      <w:ind w:leftChars="-1" w:rightChars="0" w:firstLineChars="-1"/>
      <w:jc w:val="center"/>
      <w:textDirection w:val="btLr"/>
      <w:textAlignment w:val="top"/>
      <w:outlineLvl w:val="0"/>
    </w:pPr>
    <w:rPr>
      <w:b w:val="1"/>
      <w:w w:val="100"/>
      <w:position w:val="-1"/>
      <w:effect w:val="none"/>
      <w:vertAlign w:val="baseline"/>
      <w:cs w:val="0"/>
      <w:em w:val="none"/>
      <w:lang w:bidi="ar-SA" w:eastAsia="pl-PL" w:val="pl-PL"/>
    </w:rPr>
  </w:style>
  <w:style w:type="paragraph" w:styleId="Tekstpodstawowy2">
    <w:name w:val="Tekst podstawowy 2"/>
    <w:basedOn w:val="Normalny"/>
    <w:next w:val="Tekstpodstawowy2"/>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2"/>
      <w:effect w:val="none"/>
      <w:vertAlign w:val="baseline"/>
      <w:cs w:val="0"/>
      <w:em w:val="none"/>
      <w:lang w:bidi="ar-SA" w:eastAsia="pl-PL" w:val="pl-PL"/>
    </w:rPr>
  </w:style>
  <w:style w:type="paragraph" w:styleId="Nagłówek">
    <w:name w:val="Nagłówek"/>
    <w:basedOn w:val="Normalny"/>
    <w:next w:val="Nagłówek"/>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und" w:val="und"/>
    </w:rPr>
  </w:style>
  <w:style w:type="character" w:styleId="Numerstrony">
    <w:name w:val="Numer strony"/>
    <w:basedOn w:val="Domyślnaczcionkaakapitu"/>
    <w:next w:val="Numerstrony"/>
    <w:autoRedefine w:val="0"/>
    <w:hidden w:val="0"/>
    <w:qFormat w:val="0"/>
    <w:rPr>
      <w:w w:val="100"/>
      <w:position w:val="-1"/>
      <w:effect w:val="none"/>
      <w:vertAlign w:val="baseline"/>
      <w:cs w:val="0"/>
      <w:em w:val="none"/>
      <w:lang/>
    </w:rPr>
  </w:style>
  <w:style w:type="paragraph" w:styleId="Tekstpodstawowywcięty2">
    <w:name w:val="Tekst podstawowy wcięty 2"/>
    <w:basedOn w:val="Normalny"/>
    <w:next w:val="Tekstpodstawowywcięty2"/>
    <w:autoRedefine w:val="0"/>
    <w:hidden w:val="0"/>
    <w:qFormat w:val="0"/>
    <w:pPr>
      <w:suppressAutoHyphens w:val="1"/>
      <w:spacing w:line="1" w:lineRule="atLeast"/>
      <w:ind w:left="70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pl-PL" w:val="pl-PL"/>
    </w:rPr>
  </w:style>
  <w:style w:type="paragraph" w:styleId="Stopka">
    <w:name w:val="Stopka"/>
    <w:basedOn w:val="Normalny"/>
    <w:next w:val="Stopk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pl-PL" w:val="pl-PL"/>
    </w:rPr>
  </w:style>
  <w:style w:type="paragraph" w:styleId="Tekstpodstawowy">
    <w:name w:val="Tekst podstawowy"/>
    <w:basedOn w:val="Normalny"/>
    <w:next w:val="Tekstpodstawowy"/>
    <w:autoRedefine w:val="0"/>
    <w:hidden w:val="0"/>
    <w:qFormat w:val="0"/>
    <w:pPr>
      <w:suppressAutoHyphens w:val="1"/>
      <w:spacing w:after="120" w:line="1" w:lineRule="atLeast"/>
      <w:ind w:leftChars="-1" w:rightChars="0" w:firstLineChars="-1"/>
      <w:textDirection w:val="btLr"/>
      <w:textAlignment w:val="top"/>
      <w:outlineLvl w:val="0"/>
    </w:pPr>
    <w:rPr>
      <w:w w:val="100"/>
      <w:position w:val="-1"/>
      <w:effect w:val="none"/>
      <w:vertAlign w:val="baseline"/>
      <w:cs w:val="0"/>
      <w:em w:val="none"/>
      <w:lang w:bidi="ar-SA" w:eastAsia="pl-PL" w:val="pl-PL"/>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pl-PL" w:val="pl-PL"/>
    </w:rPr>
  </w:style>
  <w:style w:type="character" w:styleId="StopkaZnak">
    <w:name w:val="Stopka Znak"/>
    <w:next w:val="StopkaZnak"/>
    <w:autoRedefine w:val="0"/>
    <w:hidden w:val="0"/>
    <w:qFormat w:val="0"/>
    <w:rPr>
      <w:w w:val="100"/>
      <w:position w:val="-1"/>
      <w:effect w:val="none"/>
      <w:vertAlign w:val="baseline"/>
      <w:cs w:val="0"/>
      <w:em w:val="none"/>
      <w:lang w:bidi="ar-SA" w:eastAsia="pl-PL" w:val="pl-PL"/>
    </w:rPr>
  </w:style>
  <w:style w:type="character" w:styleId="Hiperłącze">
    <w:name w:val="Hiperłącze"/>
    <w:next w:val="Hiperłącze"/>
    <w:autoRedefine w:val="0"/>
    <w:hidden w:val="0"/>
    <w:qFormat w:val="0"/>
    <w:rPr>
      <w:rFonts w:ascii="Times New Roman" w:cs="Times New Roman" w:hAnsi="Times New Roman" w:hint="default"/>
      <w:color w:val="0000ff"/>
      <w:w w:val="100"/>
      <w:position w:val="-1"/>
      <w:u w:val="single"/>
      <w:effect w:val="none"/>
      <w:vertAlign w:val="baseline"/>
      <w:cs w:val="0"/>
      <w:em w:val="none"/>
      <w:lang/>
    </w:rPr>
  </w:style>
  <w:style w:type="paragraph" w:styleId="Tekstdymka">
    <w:name w:val="Tekst dymka"/>
    <w:basedOn w:val="Normalny"/>
    <w:next w:val="Tekstdymka"/>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pl-PL" w:val="pl-PL"/>
    </w:rPr>
  </w:style>
  <w:style w:type="character" w:styleId="Odwołaniedokomentarza">
    <w:name w:val="Odwołanie do komentarza"/>
    <w:next w:val="Odwołaniedokomentarza"/>
    <w:autoRedefine w:val="0"/>
    <w:hidden w:val="0"/>
    <w:qFormat w:val="0"/>
    <w:rPr>
      <w:w w:val="100"/>
      <w:position w:val="-1"/>
      <w:sz w:val="16"/>
      <w:szCs w:val="16"/>
      <w:effect w:val="none"/>
      <w:vertAlign w:val="baseline"/>
      <w:cs w:val="0"/>
      <w:em w:val="none"/>
      <w:lang/>
    </w:rPr>
  </w:style>
  <w:style w:type="paragraph" w:styleId="Tekstkomentarza">
    <w:name w:val="Tekst komentarza"/>
    <w:basedOn w:val="Normalny"/>
    <w:next w:val="Tekstkomentarza"/>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und"/>
    </w:rPr>
  </w:style>
  <w:style w:type="paragraph" w:styleId="Tematkomentarza">
    <w:name w:val="Temat komentarza"/>
    <w:basedOn w:val="Tekstkomentarza"/>
    <w:next w:val="Tekstkomentarza"/>
    <w:autoRedefine w:val="0"/>
    <w:hidden w:val="0"/>
    <w:qFormat w:val="0"/>
    <w:pPr>
      <w:suppressAutoHyphens w:val="1"/>
      <w:spacing w:line="1" w:lineRule="atLeast"/>
      <w:ind w:leftChars="-1" w:rightChars="0" w:firstLineChars="-1"/>
      <w:textDirection w:val="btLr"/>
      <w:textAlignment w:val="top"/>
      <w:outlineLvl w:val="0"/>
    </w:pPr>
    <w:rPr>
      <w:b w:val="1"/>
      <w:bCs w:val="1"/>
      <w:w w:val="100"/>
      <w:position w:val="-1"/>
      <w:effect w:val="none"/>
      <w:vertAlign w:val="baseline"/>
      <w:cs w:val="0"/>
      <w:em w:val="none"/>
      <w:lang w:bidi="ar-SA" w:eastAsia="pl-PL" w:val="und"/>
    </w:rPr>
  </w:style>
  <w:style w:type="character" w:styleId="ZnakZnak1">
    <w:name w:val="Znak Znak1"/>
    <w:next w:val="ZnakZnak1"/>
    <w:autoRedefine w:val="0"/>
    <w:hidden w:val="0"/>
    <w:qFormat w:val="0"/>
    <w:rPr>
      <w:w w:val="100"/>
      <w:position w:val="-1"/>
      <w:sz w:val="24"/>
      <w:szCs w:val="24"/>
      <w:effect w:val="none"/>
      <w:vertAlign w:val="baseline"/>
      <w:cs w:val="0"/>
      <w:em w:val="none"/>
      <w:lang w:eastAsia="ar-SA"/>
    </w:rPr>
  </w:style>
  <w:style w:type="paragraph" w:styleId="FR4">
    <w:name w:val="FR4"/>
    <w:next w:val="FR4"/>
    <w:autoRedefine w:val="0"/>
    <w:hidden w:val="0"/>
    <w:qFormat w:val="0"/>
    <w:pPr>
      <w:widowControl w:val="0"/>
      <w:suppressAutoHyphens w:val="0"/>
      <w:spacing w:line="1" w:lineRule="atLeast"/>
      <w:ind w:leftChars="-1" w:rightChars="0" w:firstLineChars="-1"/>
      <w:jc w:val="center"/>
      <w:textDirection w:val="btLr"/>
      <w:textAlignment w:val="top"/>
      <w:outlineLvl w:val="0"/>
    </w:pPr>
    <w:rPr>
      <w:rFonts w:ascii="Arial" w:cs="Arial" w:eastAsia="Arial" w:hAnsi="Arial"/>
      <w:w w:val="100"/>
      <w:position w:val="-1"/>
      <w:sz w:val="16"/>
      <w:szCs w:val="16"/>
      <w:effect w:val="none"/>
      <w:vertAlign w:val="baseline"/>
      <w:cs w:val="0"/>
      <w:em w:val="none"/>
      <w:lang w:bidi="ar-SA" w:eastAsia="ar-SA" w:val="pl-PL"/>
    </w:rPr>
  </w:style>
  <w:style w:type="character" w:styleId="TekstkomentarzaZnak">
    <w:name w:val="Tekst komentarza Znak"/>
    <w:next w:val="TekstkomentarzaZnak"/>
    <w:autoRedefine w:val="0"/>
    <w:hidden w:val="0"/>
    <w:qFormat w:val="0"/>
    <w:rPr>
      <w:w w:val="100"/>
      <w:position w:val="-1"/>
      <w:effect w:val="none"/>
      <w:vertAlign w:val="baseline"/>
      <w:cs w:val="0"/>
      <w:em w:val="none"/>
      <w:lang w:eastAsia="ar-SA"/>
    </w:rPr>
  </w:style>
  <w:style w:type="paragraph" w:styleId="Standard">
    <w:name w:val="Standard"/>
    <w:next w:val="Standard"/>
    <w:autoRedefine w:val="0"/>
    <w:hidden w:val="0"/>
    <w:qFormat w:val="0"/>
    <w:pPr>
      <w:suppressAutoHyphens w:val="0"/>
      <w:autoSpaceDN w:val="0"/>
      <w:spacing w:after="200" w:line="276" w:lineRule="auto"/>
      <w:ind w:leftChars="-1" w:rightChars="0" w:firstLineChars="-1"/>
      <w:textDirection w:val="btLr"/>
      <w:textAlignment w:val="baseline"/>
      <w:outlineLvl w:val="0"/>
    </w:pPr>
    <w:rPr>
      <w:rFonts w:ascii="Calibri" w:cs="Calibri" w:eastAsia="SimSun" w:hAnsi="Calibri"/>
      <w:w w:val="100"/>
      <w:kern w:val="3"/>
      <w:position w:val="-1"/>
      <w:sz w:val="22"/>
      <w:szCs w:val="22"/>
      <w:effect w:val="none"/>
      <w:vertAlign w:val="baseline"/>
      <w:cs w:val="0"/>
      <w:em w:val="none"/>
      <w:lang w:bidi="ar-SA" w:eastAsia="en-US" w:val="pl-PL"/>
    </w:rPr>
  </w:style>
  <w:style w:type="paragraph" w:styleId="Kolorowecieniowanie—akcent31">
    <w:name w:val="Kolorowe cieniowanie — akcent 31"/>
    <w:basedOn w:val="Normalny"/>
    <w:next w:val="Kolorowecieniowanie—akcent31"/>
    <w:autoRedefine w:val="0"/>
    <w:hidden w:val="0"/>
    <w:qFormat w:val="0"/>
    <w:pPr>
      <w:suppressAutoHyphens w:val="1"/>
      <w:spacing w:line="1" w:lineRule="atLeast"/>
      <w:ind w:left="708" w:leftChars="-1" w:rightChars="0" w:firstLineChars="-1"/>
      <w:textDirection w:val="btLr"/>
      <w:textAlignment w:val="top"/>
      <w:outlineLvl w:val="0"/>
    </w:pPr>
    <w:rPr>
      <w:w w:val="100"/>
      <w:position w:val="-1"/>
      <w:effect w:val="none"/>
      <w:vertAlign w:val="baseline"/>
      <w:cs w:val="0"/>
      <w:em w:val="none"/>
      <w:lang w:bidi="ar-SA" w:eastAsia="pl-PL" w:val="pl-PL"/>
    </w:rPr>
  </w:style>
  <w:style w:type="paragraph" w:styleId="Tekstpodstawowy21">
    <w:name w:val="Tekst podstawowy 21"/>
    <w:basedOn w:val="Standard"/>
    <w:next w:val="Tekstpodstawowy21"/>
    <w:autoRedefine w:val="0"/>
    <w:hidden w:val="0"/>
    <w:qFormat w:val="0"/>
    <w:pPr>
      <w:suppressAutoHyphens w:val="0"/>
      <w:autoSpaceDN w:val="0"/>
      <w:spacing w:after="120" w:line="480" w:lineRule="auto"/>
      <w:ind w:leftChars="-1" w:rightChars="0" w:firstLineChars="-1"/>
      <w:textDirection w:val="btLr"/>
      <w:textAlignment w:val="baseline"/>
      <w:outlineLvl w:val="0"/>
    </w:pPr>
    <w:rPr>
      <w:rFonts w:ascii="Times New Roman" w:cs="Times New Roman" w:eastAsia="Times New Roman" w:hAnsi="Times New Roman"/>
      <w:w w:val="100"/>
      <w:kern w:val="3"/>
      <w:position w:val="-1"/>
      <w:sz w:val="20"/>
      <w:szCs w:val="20"/>
      <w:effect w:val="none"/>
      <w:vertAlign w:val="baseline"/>
      <w:cs w:val="0"/>
      <w:em w:val="none"/>
      <w:lang w:bidi="ar-SA" w:eastAsia="ar-SA" w:val="pl-PL"/>
    </w:rPr>
  </w:style>
  <w:style w:type="numbering" w:styleId="WWNum7">
    <w:name w:val="WWNum7"/>
    <w:basedOn w:val="Bezlisty"/>
    <w:next w:val="WWNum7"/>
    <w:autoRedefine w:val="0"/>
    <w:hidden w:val="0"/>
    <w:qFormat w:val="0"/>
    <w:pPr>
      <w:numPr>
        <w:ilvl w:val="0"/>
        <w:numId w:val="6"/>
      </w:numPr>
      <w:suppressAutoHyphens w:val="1"/>
      <w:spacing w:line="1" w:lineRule="atLeast"/>
      <w:ind w:leftChars="-1" w:rightChars="0" w:firstLineChars="-1"/>
      <w:textDirection w:val="btLr"/>
      <w:textAlignment w:val="top"/>
      <w:outlineLvl w:val="0"/>
    </w:pPr>
  </w:style>
  <w:style w:type="numbering" w:styleId="WWNum8">
    <w:name w:val="WWNum8"/>
    <w:basedOn w:val="Bezlisty"/>
    <w:next w:val="WWNum8"/>
    <w:autoRedefine w:val="0"/>
    <w:hidden w:val="0"/>
    <w:qFormat w:val="0"/>
    <w:pPr>
      <w:numPr>
        <w:ilvl w:val="0"/>
        <w:numId w:val="7"/>
      </w:numPr>
      <w:suppressAutoHyphens w:val="1"/>
      <w:spacing w:line="1" w:lineRule="atLeast"/>
      <w:ind w:leftChars="-1" w:rightChars="0" w:firstLineChars="-1"/>
      <w:textDirection w:val="btLr"/>
      <w:textAlignment w:val="top"/>
      <w:outlineLvl w:val="0"/>
    </w:pPr>
  </w:style>
  <w:style w:type="numbering" w:styleId="WWNum9">
    <w:name w:val="WWNum9"/>
    <w:basedOn w:val="Bezlisty"/>
    <w:next w:val="WWNum9"/>
    <w:autoRedefine w:val="0"/>
    <w:hidden w:val="0"/>
    <w:qFormat w:val="0"/>
    <w:pPr>
      <w:numPr>
        <w:ilvl w:val="0"/>
        <w:numId w:val="8"/>
      </w:numPr>
      <w:suppressAutoHyphens w:val="1"/>
      <w:spacing w:line="1" w:lineRule="atLeast"/>
      <w:ind w:leftChars="-1" w:rightChars="0" w:firstLineChars="-1"/>
      <w:textDirection w:val="btLr"/>
      <w:textAlignment w:val="top"/>
      <w:outlineLvl w:val="0"/>
    </w:pPr>
  </w:style>
  <w:style w:type="paragraph" w:styleId="Tekstpodstawowy31">
    <w:name w:val="Tekst podstawowy 31"/>
    <w:basedOn w:val="Standard"/>
    <w:next w:val="Tekstpodstawowy31"/>
    <w:autoRedefine w:val="0"/>
    <w:hidden w:val="0"/>
    <w:qFormat w:val="0"/>
    <w:pPr>
      <w:suppressAutoHyphens w:val="0"/>
      <w:autoSpaceDN w:val="0"/>
      <w:spacing w:after="120" w:line="240" w:lineRule="auto"/>
      <w:ind w:leftChars="-1" w:rightChars="0" w:firstLineChars="-1"/>
      <w:textDirection w:val="btLr"/>
      <w:textAlignment w:val="baseline"/>
      <w:outlineLvl w:val="0"/>
    </w:pPr>
    <w:rPr>
      <w:rFonts w:ascii="Times New Roman" w:cs="Times New Roman" w:eastAsia="Times New Roman" w:hAnsi="Times New Roman"/>
      <w:w w:val="100"/>
      <w:kern w:val="3"/>
      <w:position w:val="-1"/>
      <w:sz w:val="16"/>
      <w:szCs w:val="16"/>
      <w:effect w:val="none"/>
      <w:vertAlign w:val="baseline"/>
      <w:cs w:val="0"/>
      <w:em w:val="none"/>
      <w:lang w:bidi="ar-SA" w:eastAsia="ar-SA" w:val="pl-PL"/>
    </w:rPr>
  </w:style>
  <w:style w:type="character" w:styleId="st">
    <w:name w:val="st"/>
    <w:next w:val="st"/>
    <w:autoRedefine w:val="0"/>
    <w:hidden w:val="0"/>
    <w:qFormat w:val="0"/>
    <w:rPr>
      <w:w w:val="100"/>
      <w:position w:val="-1"/>
      <w:effect w:val="none"/>
      <w:vertAlign w:val="baseline"/>
      <w:cs w:val="0"/>
      <w:em w:val="none"/>
      <w:lang/>
    </w:rPr>
  </w:style>
  <w:style w:type="character" w:styleId="Uwydatnienie">
    <w:name w:val="Uwydatnienie"/>
    <w:next w:val="Uwydatnienie"/>
    <w:autoRedefine w:val="0"/>
    <w:hidden w:val="0"/>
    <w:qFormat w:val="0"/>
    <w:rPr>
      <w:i w:val="1"/>
      <w:iCs w:val="1"/>
      <w:w w:val="100"/>
      <w:position w:val="-1"/>
      <w:effect w:val="none"/>
      <w:vertAlign w:val="baseline"/>
      <w:cs w:val="0"/>
      <w:em w:val="none"/>
      <w:lang/>
    </w:rPr>
  </w:style>
  <w:style w:type="character" w:styleId="text">
    <w:name w:val="text"/>
    <w:next w:val="text"/>
    <w:autoRedefine w:val="0"/>
    <w:hidden w:val="0"/>
    <w:qFormat w:val="0"/>
    <w:rPr>
      <w:w w:val="100"/>
      <w:position w:val="-1"/>
      <w:effect w:val="none"/>
      <w:vertAlign w:val="baseline"/>
      <w:cs w:val="0"/>
      <w:em w:val="none"/>
      <w:lang/>
    </w:rPr>
  </w:style>
  <w:style w:type="character" w:styleId="NagłówekZnak">
    <w:name w:val="Nagłówek Znak"/>
    <w:next w:val="NagłówekZnak"/>
    <w:autoRedefine w:val="0"/>
    <w:hidden w:val="0"/>
    <w:qFormat w:val="0"/>
    <w:rPr>
      <w:w w:val="100"/>
      <w:position w:val="-1"/>
      <w:sz w:val="24"/>
      <w:effect w:val="none"/>
      <w:vertAlign w:val="baseline"/>
      <w:cs w:val="0"/>
      <w:em w:val="none"/>
      <w:lang/>
    </w:rPr>
  </w:style>
  <w:style w:type="paragraph" w:styleId="Akapitzlistą">
    <w:name w:val="Akapit z listą"/>
    <w:basedOn w:val="Normalny"/>
    <w:next w:val="Akapitzlistą"/>
    <w:autoRedefine w:val="0"/>
    <w:hidden w:val="0"/>
    <w:qFormat w:val="0"/>
    <w:pPr>
      <w:suppressAutoHyphens w:val="1"/>
      <w:spacing w:line="1" w:lineRule="atLeast"/>
      <w:ind w:left="708" w:leftChars="-1" w:rightChars="0" w:firstLineChars="-1"/>
      <w:textDirection w:val="btLr"/>
      <w:textAlignment w:val="top"/>
      <w:outlineLvl w:val="0"/>
    </w:pPr>
    <w:rPr>
      <w:w w:val="100"/>
      <w:position w:val="-1"/>
      <w:effect w:val="none"/>
      <w:vertAlign w:val="baseline"/>
      <w:cs w:val="0"/>
      <w:em w:val="none"/>
      <w:lang w:bidi="ar-SA" w:eastAsia="pl-PL" w:val="pl-P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2019-07-17T08:54:00Z</dcterms:created>
  <dc:creator>AR</dc:creator>
</cp:coreProperties>
</file>