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CA2" w:rsidRPr="00AC4CA2" w:rsidRDefault="00AC4CA2" w:rsidP="00AC4CA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STRESZCZENIE</w:t>
      </w:r>
    </w:p>
    <w:p w:rsidR="00AC4CA2" w:rsidRPr="00AC4CA2" w:rsidRDefault="00AC4CA2" w:rsidP="00AC4C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4CA2">
        <w:rPr>
          <w:rFonts w:ascii="Times New Roman" w:eastAsia="Times New Roman" w:hAnsi="Times New Roman" w:cs="Times New Roman"/>
          <w:b/>
          <w:sz w:val="24"/>
          <w:szCs w:val="20"/>
        </w:rPr>
        <w:t xml:space="preserve">z realizacji zadania na rzecz postępu biologicznego w produkcji roślinnej w </w:t>
      </w:r>
      <w:r w:rsidRPr="00AC4CA2">
        <w:rPr>
          <w:rFonts w:ascii="Times New Roman" w:eastAsia="Times New Roman" w:hAnsi="Times New Roman" w:cs="Times New Roman"/>
          <w:b/>
          <w:sz w:val="28"/>
          <w:szCs w:val="28"/>
        </w:rPr>
        <w:t>2017</w:t>
      </w:r>
      <w:r w:rsidRPr="00AC4CA2">
        <w:rPr>
          <w:rFonts w:ascii="Times New Roman" w:eastAsia="Times New Roman" w:hAnsi="Times New Roman" w:cs="Times New Roman"/>
          <w:b/>
          <w:sz w:val="24"/>
          <w:szCs w:val="20"/>
        </w:rPr>
        <w:t>. roku</w:t>
      </w:r>
    </w:p>
    <w:p w:rsidR="00AC4CA2" w:rsidRDefault="00AC4CA2">
      <w:pPr>
        <w:rPr>
          <w:rFonts w:ascii="Times New Roman" w:eastAsia="Times New Roman" w:hAnsi="Times New Roman" w:cs="Times New Roman"/>
          <w:b/>
          <w:lang w:eastAsia="pl-PL"/>
        </w:rPr>
      </w:pPr>
    </w:p>
    <w:p w:rsidR="001848A1" w:rsidRPr="008857C6" w:rsidRDefault="00AC4CA2">
      <w:pPr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Zadanie 4: </w:t>
      </w:r>
      <w:bookmarkStart w:id="0" w:name="_GoBack"/>
      <w:bookmarkEnd w:id="0"/>
      <w:r w:rsidR="008857C6" w:rsidRPr="008857C6">
        <w:rPr>
          <w:rFonts w:ascii="Times New Roman" w:eastAsia="Times New Roman" w:hAnsi="Times New Roman" w:cs="Times New Roman"/>
          <w:b/>
          <w:lang w:eastAsia="pl-PL"/>
        </w:rPr>
        <w:t>Mapowanie asocjacyjne genów odporności na rdzę brunatną (</w:t>
      </w:r>
      <w:r w:rsidR="008857C6" w:rsidRPr="008857C6">
        <w:rPr>
          <w:rFonts w:ascii="Times New Roman" w:eastAsia="Times New Roman" w:hAnsi="Times New Roman" w:cs="Times New Roman"/>
          <w:b/>
          <w:i/>
          <w:lang w:eastAsia="pl-PL"/>
        </w:rPr>
        <w:t>Puccinia triticina</w:t>
      </w:r>
      <w:r w:rsidR="008857C6" w:rsidRPr="008857C6">
        <w:rPr>
          <w:rFonts w:ascii="Times New Roman" w:eastAsia="Times New Roman" w:hAnsi="Times New Roman" w:cs="Times New Roman"/>
          <w:b/>
          <w:lang w:eastAsia="pl-PL"/>
        </w:rPr>
        <w:t>) i septoriozę paskowaną liści (</w:t>
      </w:r>
      <w:r w:rsidR="008857C6" w:rsidRPr="008857C6">
        <w:rPr>
          <w:rFonts w:ascii="Times New Roman" w:eastAsia="Times New Roman" w:hAnsi="Times New Roman" w:cs="Times New Roman"/>
          <w:b/>
          <w:i/>
          <w:lang w:eastAsia="pl-PL"/>
        </w:rPr>
        <w:t>Septoria tritici</w:t>
      </w:r>
      <w:r w:rsidR="008857C6" w:rsidRPr="008857C6">
        <w:rPr>
          <w:rFonts w:ascii="Times New Roman" w:eastAsia="Times New Roman" w:hAnsi="Times New Roman" w:cs="Times New Roman"/>
          <w:b/>
          <w:lang w:eastAsia="pl-PL"/>
        </w:rPr>
        <w:t>) w pszenicy</w:t>
      </w:r>
    </w:p>
    <w:p w:rsidR="008857C6" w:rsidRPr="008857C6" w:rsidRDefault="001B618A" w:rsidP="00BB4D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B618A">
        <w:rPr>
          <w:rFonts w:ascii="Times New Roman" w:eastAsia="Times New Roman" w:hAnsi="Times New Roman" w:cs="Times New Roman"/>
          <w:bCs/>
        </w:rPr>
        <w:t xml:space="preserve">Celem badań w roku 2017 </w:t>
      </w:r>
      <w:r>
        <w:rPr>
          <w:rFonts w:ascii="Times New Roman" w:eastAsia="Times New Roman" w:hAnsi="Times New Roman" w:cs="Times New Roman"/>
          <w:bCs/>
        </w:rPr>
        <w:t>było</w:t>
      </w:r>
      <w:r w:rsidRPr="001B618A">
        <w:rPr>
          <w:rFonts w:ascii="Times New Roman" w:eastAsia="Times New Roman" w:hAnsi="Times New Roman" w:cs="Times New Roman"/>
          <w:bCs/>
        </w:rPr>
        <w:t xml:space="preserve"> wykonanie na zestawie odmian/linii pszenicy ozimej </w:t>
      </w:r>
      <w:proofErr w:type="spellStart"/>
      <w:r w:rsidRPr="001B618A">
        <w:rPr>
          <w:rFonts w:ascii="Times New Roman" w:eastAsia="Times New Roman" w:hAnsi="Times New Roman" w:cs="Times New Roman"/>
          <w:bCs/>
        </w:rPr>
        <w:t>genotypowania</w:t>
      </w:r>
      <w:proofErr w:type="spellEnd"/>
      <w:r w:rsidRPr="001B618A">
        <w:rPr>
          <w:rFonts w:ascii="Times New Roman" w:eastAsia="Times New Roman" w:hAnsi="Times New Roman" w:cs="Times New Roman"/>
          <w:bCs/>
        </w:rPr>
        <w:t xml:space="preserve"> metodą </w:t>
      </w:r>
      <w:proofErr w:type="spellStart"/>
      <w:r w:rsidRPr="001B618A">
        <w:rPr>
          <w:rFonts w:ascii="Times New Roman" w:eastAsia="Times New Roman" w:hAnsi="Times New Roman" w:cs="Times New Roman"/>
          <w:bCs/>
        </w:rPr>
        <w:t>DArTseq</w:t>
      </w:r>
      <w:proofErr w:type="spellEnd"/>
      <w:r w:rsidRPr="001B618A">
        <w:rPr>
          <w:rFonts w:ascii="Times New Roman" w:eastAsia="Times New Roman" w:hAnsi="Times New Roman" w:cs="Times New Roman"/>
          <w:bCs/>
        </w:rPr>
        <w:t xml:space="preserve">, mapowania asocjacyjnego genów odporności </w:t>
      </w:r>
      <w:r w:rsidRPr="001B618A">
        <w:rPr>
          <w:rFonts w:ascii="Times New Roman" w:eastAsia="Times New Roman" w:hAnsi="Times New Roman" w:cs="Times New Roman"/>
          <w:bCs/>
          <w:i/>
        </w:rPr>
        <w:t>Lr</w:t>
      </w:r>
      <w:r w:rsidRPr="001B618A">
        <w:rPr>
          <w:rFonts w:ascii="Times New Roman" w:eastAsia="Times New Roman" w:hAnsi="Times New Roman" w:cs="Times New Roman"/>
          <w:bCs/>
        </w:rPr>
        <w:t xml:space="preserve"> i oceny porażenia przez kolejny </w:t>
      </w:r>
      <w:proofErr w:type="spellStart"/>
      <w:r w:rsidRPr="001B618A">
        <w:rPr>
          <w:rFonts w:ascii="Times New Roman" w:eastAsia="Times New Roman" w:hAnsi="Times New Roman" w:cs="Times New Roman"/>
          <w:bCs/>
        </w:rPr>
        <w:t>izolat</w:t>
      </w:r>
      <w:proofErr w:type="spellEnd"/>
      <w:r w:rsidRPr="001B618A">
        <w:rPr>
          <w:rFonts w:ascii="Times New Roman" w:eastAsia="Times New Roman" w:hAnsi="Times New Roman" w:cs="Times New Roman"/>
          <w:bCs/>
        </w:rPr>
        <w:t xml:space="preserve"> </w:t>
      </w:r>
      <w:r w:rsidRPr="001B618A">
        <w:rPr>
          <w:rFonts w:ascii="Times New Roman" w:eastAsia="Times New Roman" w:hAnsi="Times New Roman" w:cs="Times New Roman"/>
          <w:bCs/>
          <w:i/>
        </w:rPr>
        <w:t>S. tritici</w:t>
      </w:r>
      <w:r w:rsidRPr="001B618A">
        <w:rPr>
          <w:rFonts w:ascii="Times New Roman" w:eastAsia="Times New Roman" w:hAnsi="Times New Roman" w:cs="Times New Roman"/>
          <w:bCs/>
        </w:rPr>
        <w:t xml:space="preserve"> (w stadium rośliny dorosłej).</w:t>
      </w:r>
      <w:r>
        <w:rPr>
          <w:rFonts w:ascii="Times New Roman" w:eastAsia="Times New Roman" w:hAnsi="Times New Roman" w:cs="Times New Roman"/>
          <w:bCs/>
        </w:rPr>
        <w:t xml:space="preserve"> Dodatkowo, założono doświadczenie tunelowe do </w:t>
      </w:r>
      <w:r w:rsidRPr="001B618A">
        <w:rPr>
          <w:rFonts w:ascii="Times New Roman" w:eastAsia="Times New Roman" w:hAnsi="Times New Roman" w:cs="Times New Roman"/>
          <w:bCs/>
        </w:rPr>
        <w:t xml:space="preserve">oceny porażenia przez kolejny </w:t>
      </w:r>
      <w:proofErr w:type="spellStart"/>
      <w:r w:rsidRPr="001B618A">
        <w:rPr>
          <w:rFonts w:ascii="Times New Roman" w:eastAsia="Times New Roman" w:hAnsi="Times New Roman" w:cs="Times New Roman"/>
          <w:bCs/>
        </w:rPr>
        <w:t>izolat</w:t>
      </w:r>
      <w:proofErr w:type="spellEnd"/>
      <w:r w:rsidRPr="001B618A">
        <w:rPr>
          <w:rFonts w:ascii="Times New Roman" w:eastAsia="Times New Roman" w:hAnsi="Times New Roman" w:cs="Times New Roman"/>
          <w:bCs/>
        </w:rPr>
        <w:t xml:space="preserve"> </w:t>
      </w:r>
      <w:r w:rsidRPr="001B618A">
        <w:rPr>
          <w:rFonts w:ascii="Times New Roman" w:eastAsia="Times New Roman" w:hAnsi="Times New Roman" w:cs="Times New Roman"/>
          <w:bCs/>
          <w:i/>
        </w:rPr>
        <w:t>S. tritici</w:t>
      </w:r>
      <w:r>
        <w:rPr>
          <w:rFonts w:ascii="Times New Roman" w:eastAsia="Times New Roman" w:hAnsi="Times New Roman" w:cs="Times New Roman"/>
          <w:bCs/>
        </w:rPr>
        <w:t xml:space="preserve">. Analiza molekularna 188 odmian i linii pszenicy ozimej na platformie </w:t>
      </w:r>
      <w:proofErr w:type="spellStart"/>
      <w:r>
        <w:rPr>
          <w:rFonts w:ascii="Times New Roman" w:eastAsia="Times New Roman" w:hAnsi="Times New Roman" w:cs="Times New Roman"/>
          <w:bCs/>
        </w:rPr>
        <w:t>DArTseq</w:t>
      </w:r>
      <w:proofErr w:type="spellEnd"/>
      <w:r>
        <w:rPr>
          <w:rFonts w:ascii="Times New Roman" w:eastAsia="Times New Roman" w:hAnsi="Times New Roman" w:cs="Times New Roman"/>
          <w:bCs/>
        </w:rPr>
        <w:t xml:space="preserve"> pozwoliła na utworzenie mapy molekularnej genomu pszenicy zawierającej 2 983 markery typu SNP. </w:t>
      </w:r>
      <w:r w:rsidRPr="001B618A">
        <w:rPr>
          <w:rFonts w:ascii="Times New Roman" w:eastAsia="Times New Roman" w:hAnsi="Times New Roman" w:cs="Times New Roman"/>
          <w:bCs/>
        </w:rPr>
        <w:t>Większą część markerów zawierały genomy A i B, odpowiednio po 1128 i 1376 markerów. Natomiast genom D zawierał tylko 479 markerów, przy czym na chromosomie 4D zlokalizowano jedynie 20 markerów.</w:t>
      </w:r>
      <w:r w:rsidRPr="001B618A">
        <w:t xml:space="preserve"> </w:t>
      </w:r>
      <w:r w:rsidRPr="001B618A">
        <w:rPr>
          <w:rFonts w:ascii="Times New Roman" w:eastAsia="Times New Roman" w:hAnsi="Times New Roman" w:cs="Times New Roman"/>
          <w:bCs/>
        </w:rPr>
        <w:t xml:space="preserve">W mapowaniu asocjacyjnym (AM) genów odporności na </w:t>
      </w:r>
      <w:r w:rsidRPr="001B618A">
        <w:rPr>
          <w:rFonts w:ascii="Times New Roman" w:eastAsia="Times New Roman" w:hAnsi="Times New Roman" w:cs="Times New Roman"/>
          <w:bCs/>
          <w:i/>
        </w:rPr>
        <w:t>P. triticina</w:t>
      </w:r>
      <w:r w:rsidRPr="001B618A">
        <w:rPr>
          <w:rFonts w:ascii="Times New Roman" w:eastAsia="Times New Roman" w:hAnsi="Times New Roman" w:cs="Times New Roman"/>
          <w:bCs/>
        </w:rPr>
        <w:t xml:space="preserve"> wykorzystano dane fenotypowe (wyniki oceny odporności na 18 różnych </w:t>
      </w:r>
      <w:proofErr w:type="spellStart"/>
      <w:r w:rsidRPr="001B618A">
        <w:rPr>
          <w:rFonts w:ascii="Times New Roman" w:eastAsia="Times New Roman" w:hAnsi="Times New Roman" w:cs="Times New Roman"/>
          <w:bCs/>
        </w:rPr>
        <w:t>izolatów</w:t>
      </w:r>
      <w:proofErr w:type="spellEnd"/>
      <w:r w:rsidRPr="001B618A">
        <w:rPr>
          <w:rFonts w:ascii="Times New Roman" w:eastAsia="Times New Roman" w:hAnsi="Times New Roman" w:cs="Times New Roman"/>
          <w:bCs/>
        </w:rPr>
        <w:t xml:space="preserve"> </w:t>
      </w:r>
      <w:r w:rsidRPr="000667C0">
        <w:rPr>
          <w:rFonts w:ascii="Times New Roman" w:eastAsia="Times New Roman" w:hAnsi="Times New Roman" w:cs="Times New Roman"/>
          <w:bCs/>
          <w:i/>
        </w:rPr>
        <w:t>P. triticina</w:t>
      </w:r>
      <w:r w:rsidRPr="001B618A">
        <w:rPr>
          <w:rFonts w:ascii="Times New Roman" w:eastAsia="Times New Roman" w:hAnsi="Times New Roman" w:cs="Times New Roman"/>
          <w:bCs/>
        </w:rPr>
        <w:t xml:space="preserve"> </w:t>
      </w:r>
      <w:r w:rsidR="000667C0">
        <w:rPr>
          <w:rFonts w:ascii="Times New Roman" w:eastAsia="Times New Roman" w:hAnsi="Times New Roman" w:cs="Times New Roman"/>
          <w:bCs/>
        </w:rPr>
        <w:t>(</w:t>
      </w:r>
      <w:r w:rsidRPr="001B618A">
        <w:rPr>
          <w:rFonts w:ascii="Times New Roman" w:eastAsia="Times New Roman" w:hAnsi="Times New Roman" w:cs="Times New Roman"/>
          <w:bCs/>
        </w:rPr>
        <w:t>otrzymane w latach 2014-2016)</w:t>
      </w:r>
      <w:r w:rsidR="000667C0">
        <w:rPr>
          <w:rFonts w:ascii="Times New Roman" w:eastAsia="Times New Roman" w:hAnsi="Times New Roman" w:cs="Times New Roman"/>
          <w:bCs/>
        </w:rPr>
        <w:t xml:space="preserve"> </w:t>
      </w:r>
      <w:r w:rsidRPr="001B618A">
        <w:rPr>
          <w:rFonts w:ascii="Times New Roman" w:eastAsia="Times New Roman" w:hAnsi="Times New Roman" w:cs="Times New Roman"/>
          <w:bCs/>
        </w:rPr>
        <w:t xml:space="preserve"> i genotypowe (zidentyfikowane markery SNP) dla 179 odmian i linii pszenicy</w:t>
      </w:r>
      <w:r w:rsidR="000667C0">
        <w:rPr>
          <w:rFonts w:ascii="Times New Roman" w:eastAsia="Times New Roman" w:hAnsi="Times New Roman" w:cs="Times New Roman"/>
          <w:bCs/>
        </w:rPr>
        <w:t xml:space="preserve">. Wyłoniono 6 podgrup genotypów o różnym pokrewieństwie genetycznym. </w:t>
      </w:r>
      <w:r w:rsidR="000667C0" w:rsidRPr="000667C0">
        <w:rPr>
          <w:rFonts w:ascii="Times New Roman" w:eastAsia="Times New Roman" w:hAnsi="Times New Roman" w:cs="Times New Roman"/>
          <w:bCs/>
        </w:rPr>
        <w:t>Mapowanie asocjacyjne</w:t>
      </w:r>
      <w:r w:rsidR="000667C0">
        <w:rPr>
          <w:rFonts w:ascii="Times New Roman" w:eastAsia="Times New Roman" w:hAnsi="Times New Roman" w:cs="Times New Roman"/>
          <w:bCs/>
        </w:rPr>
        <w:t xml:space="preserve"> na potrzeby wykrywania istotnych statystycznie asocjacji</w:t>
      </w:r>
      <w:r w:rsidR="000667C0" w:rsidRPr="000667C0">
        <w:rPr>
          <w:rFonts w:ascii="Times New Roman" w:eastAsia="Times New Roman" w:hAnsi="Times New Roman" w:cs="Times New Roman"/>
          <w:bCs/>
        </w:rPr>
        <w:t xml:space="preserve"> </w:t>
      </w:r>
      <w:r w:rsidR="000667C0">
        <w:rPr>
          <w:rFonts w:ascii="Times New Roman" w:eastAsia="Times New Roman" w:hAnsi="Times New Roman" w:cs="Times New Roman"/>
          <w:bCs/>
        </w:rPr>
        <w:t xml:space="preserve">marker-cecha (MTA) </w:t>
      </w:r>
      <w:r w:rsidR="000667C0" w:rsidRPr="000667C0">
        <w:rPr>
          <w:rFonts w:ascii="Times New Roman" w:eastAsia="Times New Roman" w:hAnsi="Times New Roman" w:cs="Times New Roman"/>
          <w:bCs/>
        </w:rPr>
        <w:t>wykonano w oparciu o model mieszany analizy wariancji, estymacje komponentów wariancyjnych dla czynników losowych identyfikujących markery i genotypy oparto o metodę REML z uwzględnieniem informacji o strukturze populacji</w:t>
      </w:r>
      <w:r w:rsidR="000667C0">
        <w:rPr>
          <w:rFonts w:ascii="Times New Roman" w:eastAsia="Times New Roman" w:hAnsi="Times New Roman" w:cs="Times New Roman"/>
          <w:bCs/>
        </w:rPr>
        <w:t>.</w:t>
      </w:r>
      <w:r w:rsidR="000667C0" w:rsidRPr="000667C0">
        <w:t xml:space="preserve"> </w:t>
      </w:r>
      <w:r w:rsidR="000667C0" w:rsidRPr="000667C0">
        <w:rPr>
          <w:rFonts w:ascii="Times New Roman" w:eastAsia="Times New Roman" w:hAnsi="Times New Roman" w:cs="Times New Roman"/>
          <w:bCs/>
        </w:rPr>
        <w:t>W wyniku przeprowadzonej analizy wykryto</w:t>
      </w:r>
      <w:r w:rsidR="000667C0">
        <w:rPr>
          <w:rFonts w:ascii="Times New Roman" w:eastAsia="Times New Roman" w:hAnsi="Times New Roman" w:cs="Times New Roman"/>
          <w:bCs/>
        </w:rPr>
        <w:t xml:space="preserve"> 354 MTA o wysokim stopniu prawdopodobieństwa ich występowania.</w:t>
      </w:r>
      <w:r w:rsidR="000667C0" w:rsidRPr="000667C0">
        <w:t xml:space="preserve"> </w:t>
      </w:r>
      <w:r w:rsidR="000667C0" w:rsidRPr="000667C0">
        <w:rPr>
          <w:rFonts w:ascii="Times New Roman" w:eastAsia="Times New Roman" w:hAnsi="Times New Roman" w:cs="Times New Roman"/>
          <w:bCs/>
        </w:rPr>
        <w:t xml:space="preserve">Przeprowadzone analizy umożliwiły wykrycie (postulowanie) wśród badanych odmian następujących genów odporności: </w:t>
      </w:r>
      <w:r w:rsidR="000667C0" w:rsidRPr="000667C0">
        <w:rPr>
          <w:rFonts w:ascii="Times New Roman" w:eastAsia="Times New Roman" w:hAnsi="Times New Roman" w:cs="Times New Roman"/>
          <w:bCs/>
          <w:i/>
        </w:rPr>
        <w:t>Lr3bg</w:t>
      </w:r>
      <w:r w:rsidR="000667C0" w:rsidRPr="000667C0">
        <w:rPr>
          <w:rFonts w:ascii="Times New Roman" w:eastAsia="Times New Roman" w:hAnsi="Times New Roman" w:cs="Times New Roman"/>
          <w:bCs/>
        </w:rPr>
        <w:t xml:space="preserve">, </w:t>
      </w:r>
      <w:r w:rsidR="000667C0" w:rsidRPr="000667C0">
        <w:rPr>
          <w:rFonts w:ascii="Times New Roman" w:eastAsia="Times New Roman" w:hAnsi="Times New Roman" w:cs="Times New Roman"/>
          <w:bCs/>
          <w:i/>
        </w:rPr>
        <w:t>Lr9</w:t>
      </w:r>
      <w:r w:rsidR="000667C0" w:rsidRPr="000667C0">
        <w:rPr>
          <w:rFonts w:ascii="Times New Roman" w:eastAsia="Times New Roman" w:hAnsi="Times New Roman" w:cs="Times New Roman"/>
          <w:bCs/>
        </w:rPr>
        <w:t xml:space="preserve">, </w:t>
      </w:r>
      <w:r w:rsidR="000667C0" w:rsidRPr="000667C0">
        <w:rPr>
          <w:rFonts w:ascii="Times New Roman" w:eastAsia="Times New Roman" w:hAnsi="Times New Roman" w:cs="Times New Roman"/>
          <w:bCs/>
          <w:i/>
        </w:rPr>
        <w:t>Lr24</w:t>
      </w:r>
      <w:r w:rsidR="000667C0" w:rsidRPr="000667C0">
        <w:rPr>
          <w:rFonts w:ascii="Times New Roman" w:eastAsia="Times New Roman" w:hAnsi="Times New Roman" w:cs="Times New Roman"/>
          <w:bCs/>
        </w:rPr>
        <w:t xml:space="preserve"> i </w:t>
      </w:r>
      <w:r w:rsidR="000667C0" w:rsidRPr="000667C0">
        <w:rPr>
          <w:rFonts w:ascii="Times New Roman" w:eastAsia="Times New Roman" w:hAnsi="Times New Roman" w:cs="Times New Roman"/>
          <w:bCs/>
          <w:i/>
        </w:rPr>
        <w:t>Lr26</w:t>
      </w:r>
      <w:r w:rsidR="000667C0">
        <w:rPr>
          <w:rFonts w:ascii="Times New Roman" w:eastAsia="Times New Roman" w:hAnsi="Times New Roman" w:cs="Times New Roman"/>
          <w:bCs/>
        </w:rPr>
        <w:t xml:space="preserve">, dla których wykryto liczbę MTA odpowiednio 6, 4, 72 i 243. </w:t>
      </w:r>
      <w:r w:rsidR="00BB4D88">
        <w:rPr>
          <w:rFonts w:ascii="Times New Roman" w:eastAsia="Times New Roman" w:hAnsi="Times New Roman" w:cs="Times New Roman"/>
          <w:bCs/>
        </w:rPr>
        <w:t xml:space="preserve">Natomiast, </w:t>
      </w:r>
      <w:r w:rsidR="00BB4D88" w:rsidRPr="00BB4D88">
        <w:rPr>
          <w:rFonts w:ascii="Times New Roman" w:eastAsia="Times New Roman" w:hAnsi="Times New Roman" w:cs="Times New Roman"/>
          <w:bCs/>
        </w:rPr>
        <w:t xml:space="preserve">29 MTA dotyczyło nieznanych </w:t>
      </w:r>
      <w:proofErr w:type="spellStart"/>
      <w:r w:rsidR="00BB4D88" w:rsidRPr="00BB4D88">
        <w:rPr>
          <w:rFonts w:ascii="Times New Roman" w:eastAsia="Times New Roman" w:hAnsi="Times New Roman" w:cs="Times New Roman"/>
          <w:bCs/>
        </w:rPr>
        <w:t>loci</w:t>
      </w:r>
      <w:proofErr w:type="spellEnd"/>
      <w:r w:rsidR="00BB4D88" w:rsidRPr="00BB4D88">
        <w:rPr>
          <w:rFonts w:ascii="Times New Roman" w:eastAsia="Times New Roman" w:hAnsi="Times New Roman" w:cs="Times New Roman"/>
          <w:bCs/>
        </w:rPr>
        <w:t xml:space="preserve"> odporności na chromosomach:</w:t>
      </w:r>
      <w:r w:rsidR="00BB4D88">
        <w:rPr>
          <w:rFonts w:ascii="Times New Roman" w:eastAsia="Times New Roman" w:hAnsi="Times New Roman" w:cs="Times New Roman"/>
          <w:bCs/>
        </w:rPr>
        <w:t xml:space="preserve"> 1B, 2A, 3B, 6B, 7A, 7D.</w:t>
      </w:r>
      <w:r w:rsidR="00BB4D88" w:rsidRPr="00BB4D88">
        <w:t xml:space="preserve"> </w:t>
      </w:r>
      <w:r w:rsidR="00BB4D88" w:rsidRPr="00BB4D88">
        <w:rPr>
          <w:rFonts w:ascii="Times New Roman" w:eastAsia="Times New Roman" w:hAnsi="Times New Roman" w:cs="Times New Roman"/>
          <w:bCs/>
        </w:rPr>
        <w:t xml:space="preserve">Obecność genu </w:t>
      </w:r>
      <w:r w:rsidR="00BB4D88" w:rsidRPr="00BB4D88">
        <w:rPr>
          <w:rFonts w:ascii="Times New Roman" w:eastAsia="Times New Roman" w:hAnsi="Times New Roman" w:cs="Times New Roman"/>
          <w:bCs/>
          <w:i/>
        </w:rPr>
        <w:t>Lr26</w:t>
      </w:r>
      <w:r w:rsidR="00BB4D88" w:rsidRPr="00BB4D88">
        <w:rPr>
          <w:rFonts w:ascii="Times New Roman" w:eastAsia="Times New Roman" w:hAnsi="Times New Roman" w:cs="Times New Roman"/>
          <w:bCs/>
        </w:rPr>
        <w:t xml:space="preserve"> była zwykle związana wykrywaniem około 25MTA/</w:t>
      </w:r>
      <w:proofErr w:type="spellStart"/>
      <w:r w:rsidR="00BB4D88" w:rsidRPr="00BB4D88">
        <w:rPr>
          <w:rFonts w:ascii="Times New Roman" w:eastAsia="Times New Roman" w:hAnsi="Times New Roman" w:cs="Times New Roman"/>
          <w:bCs/>
        </w:rPr>
        <w:t>izolat</w:t>
      </w:r>
      <w:proofErr w:type="spellEnd"/>
      <w:r w:rsidR="00BB4D88" w:rsidRPr="00BB4D88">
        <w:rPr>
          <w:rFonts w:ascii="Times New Roman" w:eastAsia="Times New Roman" w:hAnsi="Times New Roman" w:cs="Times New Roman"/>
          <w:bCs/>
        </w:rPr>
        <w:t xml:space="preserve"> </w:t>
      </w:r>
      <w:r w:rsidR="00BB4D88" w:rsidRPr="00BB4D88">
        <w:rPr>
          <w:rFonts w:ascii="Times New Roman" w:eastAsia="Times New Roman" w:hAnsi="Times New Roman" w:cs="Times New Roman"/>
          <w:bCs/>
          <w:i/>
        </w:rPr>
        <w:t>P. triticina</w:t>
      </w:r>
      <w:r w:rsidR="00BB4D88" w:rsidRPr="00BB4D88">
        <w:rPr>
          <w:rFonts w:ascii="Times New Roman" w:eastAsia="Times New Roman" w:hAnsi="Times New Roman" w:cs="Times New Roman"/>
          <w:bCs/>
        </w:rPr>
        <w:t>, które korespondow</w:t>
      </w:r>
      <w:r w:rsidR="00BB4D88">
        <w:rPr>
          <w:rFonts w:ascii="Times New Roman" w:eastAsia="Times New Roman" w:hAnsi="Times New Roman" w:cs="Times New Roman"/>
          <w:bCs/>
        </w:rPr>
        <w:t>ały z blokiem markerów pokrywają</w:t>
      </w:r>
      <w:r w:rsidR="00BB4D88" w:rsidRPr="00BB4D88">
        <w:rPr>
          <w:rFonts w:ascii="Times New Roman" w:eastAsia="Times New Roman" w:hAnsi="Times New Roman" w:cs="Times New Roman"/>
          <w:bCs/>
        </w:rPr>
        <w:t xml:space="preserve">cych fragment ok 40cM  </w:t>
      </w:r>
      <w:r w:rsidR="00BB4D88">
        <w:rPr>
          <w:rFonts w:ascii="Times New Roman" w:eastAsia="Times New Roman" w:hAnsi="Times New Roman" w:cs="Times New Roman"/>
          <w:bCs/>
        </w:rPr>
        <w:t>i odpowiadający</w:t>
      </w:r>
      <w:r w:rsidR="00BB4D88" w:rsidRPr="00BB4D88">
        <w:rPr>
          <w:rFonts w:ascii="Times New Roman" w:eastAsia="Times New Roman" w:hAnsi="Times New Roman" w:cs="Times New Roman"/>
          <w:bCs/>
        </w:rPr>
        <w:t xml:space="preserve"> tran</w:t>
      </w:r>
      <w:r w:rsidR="00BB4D88">
        <w:rPr>
          <w:rFonts w:ascii="Times New Roman" w:eastAsia="Times New Roman" w:hAnsi="Times New Roman" w:cs="Times New Roman"/>
          <w:bCs/>
        </w:rPr>
        <w:t xml:space="preserve">slokacji z genomu żyta T1BL.1RS. </w:t>
      </w:r>
      <w:r w:rsidR="00BB4D88" w:rsidRPr="00BB4D88">
        <w:rPr>
          <w:rFonts w:ascii="Times New Roman" w:eastAsia="Times New Roman" w:hAnsi="Times New Roman" w:cs="Times New Roman"/>
          <w:bCs/>
        </w:rPr>
        <w:t xml:space="preserve">Podobny rozmiarów blok markerów istotnych dla detekcji genu </w:t>
      </w:r>
      <w:r w:rsidR="00BB4D88" w:rsidRPr="00BB4D88">
        <w:rPr>
          <w:rFonts w:ascii="Times New Roman" w:eastAsia="Times New Roman" w:hAnsi="Times New Roman" w:cs="Times New Roman"/>
          <w:bCs/>
          <w:i/>
        </w:rPr>
        <w:t>Lr24</w:t>
      </w:r>
      <w:r w:rsidR="00BB4D88" w:rsidRPr="00BB4D88">
        <w:rPr>
          <w:rFonts w:ascii="Times New Roman" w:eastAsia="Times New Roman" w:hAnsi="Times New Roman" w:cs="Times New Roman"/>
          <w:bCs/>
        </w:rPr>
        <w:t xml:space="preserve"> obserwowano na chromosomie 3D</w:t>
      </w:r>
      <w:r w:rsidR="00BB4D88">
        <w:rPr>
          <w:rFonts w:ascii="Times New Roman" w:eastAsia="Times New Roman" w:hAnsi="Times New Roman" w:cs="Times New Roman"/>
          <w:bCs/>
        </w:rPr>
        <w:t xml:space="preserve">, na którym zlokalizowana jest  </w:t>
      </w:r>
      <w:r w:rsidR="00BB4D88" w:rsidRPr="00BB4D88">
        <w:rPr>
          <w:rFonts w:ascii="Times New Roman" w:eastAsia="Times New Roman" w:hAnsi="Times New Roman" w:cs="Times New Roman"/>
          <w:bCs/>
        </w:rPr>
        <w:t>translokacj</w:t>
      </w:r>
      <w:r w:rsidR="00BB4D88">
        <w:rPr>
          <w:rFonts w:ascii="Times New Roman" w:eastAsia="Times New Roman" w:hAnsi="Times New Roman" w:cs="Times New Roman"/>
          <w:bCs/>
        </w:rPr>
        <w:t>a</w:t>
      </w:r>
      <w:r w:rsidR="00BB4D88" w:rsidRPr="00BB4D88">
        <w:rPr>
          <w:rFonts w:ascii="Times New Roman" w:eastAsia="Times New Roman" w:hAnsi="Times New Roman" w:cs="Times New Roman"/>
          <w:bCs/>
        </w:rPr>
        <w:t xml:space="preserve"> z </w:t>
      </w:r>
      <w:proofErr w:type="spellStart"/>
      <w:r w:rsidR="00BB4D88" w:rsidRPr="00BB4D88">
        <w:rPr>
          <w:rFonts w:ascii="Times New Roman" w:eastAsia="Times New Roman" w:hAnsi="Times New Roman" w:cs="Times New Roman"/>
          <w:bCs/>
          <w:i/>
        </w:rPr>
        <w:t>Agropyron</w:t>
      </w:r>
      <w:proofErr w:type="spellEnd"/>
      <w:r w:rsidR="00BB4D88" w:rsidRPr="00BB4D88">
        <w:rPr>
          <w:rFonts w:ascii="Times New Roman" w:eastAsia="Times New Roman" w:hAnsi="Times New Roman" w:cs="Times New Roman"/>
          <w:bCs/>
          <w:i/>
        </w:rPr>
        <w:t xml:space="preserve"> </w:t>
      </w:r>
      <w:proofErr w:type="spellStart"/>
      <w:r w:rsidR="00BB4D88" w:rsidRPr="00BB4D88">
        <w:rPr>
          <w:rFonts w:ascii="Times New Roman" w:eastAsia="Times New Roman" w:hAnsi="Times New Roman" w:cs="Times New Roman"/>
          <w:bCs/>
          <w:i/>
        </w:rPr>
        <w:t>elongatum</w:t>
      </w:r>
      <w:proofErr w:type="spellEnd"/>
      <w:r w:rsidR="00BB4D88">
        <w:rPr>
          <w:rFonts w:ascii="Times New Roman" w:eastAsia="Times New Roman" w:hAnsi="Times New Roman" w:cs="Times New Roman"/>
          <w:bCs/>
        </w:rPr>
        <w:t xml:space="preserve">. </w:t>
      </w:r>
      <w:r w:rsidR="008857C6" w:rsidRPr="008857C6">
        <w:rPr>
          <w:rFonts w:ascii="Times New Roman" w:eastAsia="Times New Roman" w:hAnsi="Times New Roman" w:cs="Times New Roman"/>
        </w:rPr>
        <w:t>W omawianym zadaniu przeprowadzono również ocenę reakcji fenotypowej (odporny/podatny) 2</w:t>
      </w:r>
      <w:r w:rsidR="00BB4D88">
        <w:rPr>
          <w:rFonts w:ascii="Times New Roman" w:eastAsia="Times New Roman" w:hAnsi="Times New Roman" w:cs="Times New Roman"/>
        </w:rPr>
        <w:t>18</w:t>
      </w:r>
      <w:r w:rsidR="008857C6" w:rsidRPr="008857C6">
        <w:rPr>
          <w:rFonts w:ascii="Times New Roman" w:eastAsia="Times New Roman" w:hAnsi="Times New Roman" w:cs="Times New Roman"/>
        </w:rPr>
        <w:t xml:space="preserve"> odmian/linii pszenicy ozimej na zakażenie </w:t>
      </w:r>
      <w:proofErr w:type="spellStart"/>
      <w:r w:rsidR="008857C6" w:rsidRPr="008857C6">
        <w:rPr>
          <w:rFonts w:ascii="Times New Roman" w:eastAsia="Times New Roman" w:hAnsi="Times New Roman" w:cs="Times New Roman"/>
        </w:rPr>
        <w:t>izolatem</w:t>
      </w:r>
      <w:proofErr w:type="spellEnd"/>
      <w:r w:rsidR="008857C6" w:rsidRPr="008857C6">
        <w:rPr>
          <w:rFonts w:ascii="Times New Roman" w:eastAsia="Times New Roman" w:hAnsi="Times New Roman" w:cs="Times New Roman"/>
        </w:rPr>
        <w:t xml:space="preserve"> </w:t>
      </w:r>
      <w:r w:rsidR="008857C6" w:rsidRPr="008857C6">
        <w:rPr>
          <w:rFonts w:ascii="Times New Roman" w:eastAsia="Times New Roman" w:hAnsi="Times New Roman" w:cs="Times New Roman"/>
          <w:i/>
        </w:rPr>
        <w:t>S. tritici</w:t>
      </w:r>
      <w:r w:rsidR="008857C6" w:rsidRPr="008857C6">
        <w:rPr>
          <w:rFonts w:ascii="Times New Roman" w:eastAsia="Times New Roman" w:hAnsi="Times New Roman" w:cs="Times New Roman"/>
        </w:rPr>
        <w:t xml:space="preserve"> IPO</w:t>
      </w:r>
      <w:r w:rsidR="00BB4D88">
        <w:rPr>
          <w:rFonts w:ascii="Times New Roman" w:eastAsia="Times New Roman" w:hAnsi="Times New Roman" w:cs="Times New Roman"/>
        </w:rPr>
        <w:t>92006</w:t>
      </w:r>
      <w:r w:rsidR="008857C6" w:rsidRPr="008857C6">
        <w:rPr>
          <w:rFonts w:ascii="Times New Roman" w:eastAsia="Times New Roman" w:hAnsi="Times New Roman" w:cs="Times New Roman"/>
        </w:rPr>
        <w:t xml:space="preserve">. </w:t>
      </w:r>
      <w:r w:rsidR="008857C6" w:rsidRPr="008857C6">
        <w:rPr>
          <w:rFonts w:ascii="Times New Roman" w:eastAsia="Times New Roman" w:hAnsi="Times New Roman" w:cs="Times New Roman"/>
          <w:color w:val="000000"/>
          <w:lang w:eastAsia="pl-PL"/>
        </w:rPr>
        <w:t xml:space="preserve">W celu wyróżnienia odmian charakteryzujących się podobną reakcją fenotypową zastosowano analizę skupień aglomeracyjnego grupowania hierarchicznego (ang. </w:t>
      </w:r>
      <w:proofErr w:type="spellStart"/>
      <w:r w:rsidR="008857C6" w:rsidRPr="008857C6">
        <w:rPr>
          <w:rFonts w:ascii="Times New Roman" w:eastAsia="Times New Roman" w:hAnsi="Times New Roman" w:cs="Times New Roman"/>
        </w:rPr>
        <w:t>agglomerative</w:t>
      </w:r>
      <w:proofErr w:type="spellEnd"/>
      <w:r w:rsidR="008857C6" w:rsidRPr="008857C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857C6" w:rsidRPr="008857C6">
        <w:rPr>
          <w:rFonts w:ascii="Times New Roman" w:eastAsia="Times New Roman" w:hAnsi="Times New Roman" w:cs="Times New Roman"/>
        </w:rPr>
        <w:t>hierarchical</w:t>
      </w:r>
      <w:proofErr w:type="spellEnd"/>
      <w:r w:rsidR="008857C6" w:rsidRPr="008857C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857C6" w:rsidRPr="008857C6">
        <w:rPr>
          <w:rFonts w:ascii="Times New Roman" w:eastAsia="Times New Roman" w:hAnsi="Times New Roman" w:cs="Times New Roman"/>
        </w:rPr>
        <w:t>clustering</w:t>
      </w:r>
      <w:proofErr w:type="spellEnd"/>
      <w:r w:rsidR="008857C6" w:rsidRPr="008857C6">
        <w:rPr>
          <w:rFonts w:ascii="Times New Roman" w:eastAsia="Times New Roman" w:hAnsi="Times New Roman" w:cs="Times New Roman"/>
        </w:rPr>
        <w:t xml:space="preserve">, AHC). W przeprowadzonych analizach zanotowano podział odmian pszenicy na </w:t>
      </w:r>
      <w:r w:rsidR="00BB4D88">
        <w:rPr>
          <w:rFonts w:ascii="Times New Roman" w:eastAsia="Times New Roman" w:hAnsi="Times New Roman" w:cs="Times New Roman"/>
        </w:rPr>
        <w:t>trzy</w:t>
      </w:r>
      <w:r w:rsidR="008857C6" w:rsidRPr="008857C6">
        <w:rPr>
          <w:rFonts w:ascii="Times New Roman" w:eastAsia="Times New Roman" w:hAnsi="Times New Roman" w:cs="Times New Roman"/>
        </w:rPr>
        <w:t xml:space="preserve"> główne klasy znacząco różniące się między sobą stopniem porażenia liści.</w:t>
      </w:r>
      <w:r w:rsidR="00BB4D88">
        <w:rPr>
          <w:rFonts w:ascii="Times New Roman" w:eastAsia="Times New Roman" w:hAnsi="Times New Roman" w:cs="Times New Roman"/>
        </w:rPr>
        <w:t xml:space="preserve"> </w:t>
      </w:r>
      <w:r w:rsidR="00BB4D88" w:rsidRPr="00BB4D88">
        <w:rPr>
          <w:rFonts w:ascii="Times New Roman" w:eastAsia="Times New Roman" w:hAnsi="Times New Roman" w:cs="Times New Roman"/>
        </w:rPr>
        <w:t xml:space="preserve">Klasa pierwsza najodporniejsza, najliczniejsza ale i najbardziej zróżnicowana zawierała 170 odmian gdzie zakres procentu pokrycia powierzchni liścia </w:t>
      </w:r>
      <w:r w:rsidR="00BB4D88">
        <w:rPr>
          <w:rFonts w:ascii="Times New Roman" w:eastAsia="Times New Roman" w:hAnsi="Times New Roman" w:cs="Times New Roman"/>
        </w:rPr>
        <w:t>mieś</w:t>
      </w:r>
      <w:r w:rsidR="00BB4D88" w:rsidRPr="00BB4D88">
        <w:rPr>
          <w:rFonts w:ascii="Times New Roman" w:eastAsia="Times New Roman" w:hAnsi="Times New Roman" w:cs="Times New Roman"/>
        </w:rPr>
        <w:t>cił się w granicach 12,4%-82,1.</w:t>
      </w:r>
      <w:r w:rsidR="00BB4D88" w:rsidRPr="00BB4D88">
        <w:t xml:space="preserve"> </w:t>
      </w:r>
      <w:r w:rsidR="00BB4D88">
        <w:rPr>
          <w:rFonts w:ascii="Times New Roman" w:eastAsia="Times New Roman" w:hAnsi="Times New Roman" w:cs="Times New Roman"/>
        </w:rPr>
        <w:t>Na tym etapie badań</w:t>
      </w:r>
      <w:r w:rsidR="00BB4D88" w:rsidRPr="00BB4D88">
        <w:rPr>
          <w:rFonts w:ascii="Times New Roman" w:eastAsia="Times New Roman" w:hAnsi="Times New Roman" w:cs="Times New Roman"/>
        </w:rPr>
        <w:t>, wskazanie genów odporności, które warunkują reakcje odporności dla odmian jest trudna w tej chwili do określenia i potrzebuje wsparcia badań występowania asocjacji odporność-marker molekularny</w:t>
      </w:r>
      <w:r w:rsidR="00BB4D88">
        <w:rPr>
          <w:rFonts w:ascii="Times New Roman" w:eastAsia="Times New Roman" w:hAnsi="Times New Roman" w:cs="Times New Roman"/>
        </w:rPr>
        <w:t>, które będą prowadzone w nastę</w:t>
      </w:r>
      <w:r w:rsidR="00BB4D88" w:rsidRPr="00BB4D88">
        <w:rPr>
          <w:rFonts w:ascii="Times New Roman" w:eastAsia="Times New Roman" w:hAnsi="Times New Roman" w:cs="Times New Roman"/>
        </w:rPr>
        <w:t xml:space="preserve">pnym roku realizacji tematu.  </w:t>
      </w:r>
    </w:p>
    <w:p w:rsidR="008857C6" w:rsidRPr="008857C6" w:rsidRDefault="008857C6"/>
    <w:sectPr w:rsidR="008857C6" w:rsidRPr="00885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7C6"/>
    <w:rsid w:val="000037F0"/>
    <w:rsid w:val="000667C0"/>
    <w:rsid w:val="001B618A"/>
    <w:rsid w:val="00620D21"/>
    <w:rsid w:val="0070702E"/>
    <w:rsid w:val="007F4573"/>
    <w:rsid w:val="00806794"/>
    <w:rsid w:val="008857C6"/>
    <w:rsid w:val="00A5348D"/>
    <w:rsid w:val="00AC4CA2"/>
    <w:rsid w:val="00AF30D4"/>
    <w:rsid w:val="00BB4D88"/>
    <w:rsid w:val="00C8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-2">
    <w:name w:val="Normalny-2"/>
    <w:basedOn w:val="Normalny"/>
    <w:autoRedefine/>
    <w:qFormat/>
    <w:rsid w:val="00C864A4"/>
    <w:pPr>
      <w:autoSpaceDE w:val="0"/>
      <w:autoSpaceDN w:val="0"/>
      <w:adjustRightInd w:val="0"/>
      <w:spacing w:after="0" w:line="240" w:lineRule="exact"/>
      <w:ind w:firstLine="709"/>
      <w:jc w:val="both"/>
    </w:pPr>
    <w:rPr>
      <w:rFonts w:ascii="Arial" w:eastAsia="Calibri" w:hAnsi="Arial" w:cs="Arial"/>
      <w:color w:val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-2">
    <w:name w:val="Normalny-2"/>
    <w:basedOn w:val="Normalny"/>
    <w:autoRedefine/>
    <w:qFormat/>
    <w:rsid w:val="00C864A4"/>
    <w:pPr>
      <w:autoSpaceDE w:val="0"/>
      <w:autoSpaceDN w:val="0"/>
      <w:adjustRightInd w:val="0"/>
      <w:spacing w:after="0" w:line="240" w:lineRule="exact"/>
      <w:ind w:firstLine="709"/>
      <w:jc w:val="both"/>
    </w:pPr>
    <w:rPr>
      <w:rFonts w:ascii="Arial" w:eastAsia="Calibri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IHAR Radzików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2017-12-21T08:29:00Z</dcterms:created>
  <dcterms:modified xsi:type="dcterms:W3CDTF">2017-12-21T09:01:00Z</dcterms:modified>
</cp:coreProperties>
</file>