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47" w:rsidRPr="00D509CF" w:rsidRDefault="00801247" w:rsidP="009135D2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D509CF">
        <w:rPr>
          <w:rFonts w:ascii="Arial" w:hAnsi="Arial" w:cs="Arial"/>
          <w:b/>
          <w:sz w:val="20"/>
          <w:szCs w:val="20"/>
          <w:lang w:val="en-US"/>
        </w:rPr>
        <w:t>Molecular markers for the detection of the wheat leaf rust and powdery mildew resistance genes in MAS</w:t>
      </w:r>
    </w:p>
    <w:p w:rsidR="001440BE" w:rsidRPr="00D509CF" w:rsidRDefault="001440BE" w:rsidP="009135D2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Aleksandra Pietrusińska, Jerzy </w:t>
      </w:r>
      <w:proofErr w:type="spellStart"/>
      <w:r w:rsidRPr="00D509CF">
        <w:rPr>
          <w:rFonts w:ascii="Arial" w:hAnsi="Arial" w:cs="Arial"/>
          <w:sz w:val="20"/>
          <w:szCs w:val="20"/>
          <w:lang w:val="en-US"/>
        </w:rPr>
        <w:t>Henryk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 Czembor</w:t>
      </w:r>
    </w:p>
    <w:p w:rsidR="001440BE" w:rsidRPr="00D509CF" w:rsidRDefault="001440BE" w:rsidP="009135D2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Department of Plant Breeding and Genetics, Plant Breeding and Acclimatization Institute, National Research Institute at </w:t>
      </w:r>
      <w:proofErr w:type="spellStart"/>
      <w:r w:rsidRPr="00D509CF">
        <w:rPr>
          <w:rFonts w:ascii="Arial" w:hAnsi="Arial" w:cs="Arial"/>
          <w:sz w:val="20"/>
          <w:szCs w:val="20"/>
          <w:lang w:val="en-US"/>
        </w:rPr>
        <w:t>Radzikow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, 05-870 </w:t>
      </w:r>
      <w:proofErr w:type="spellStart"/>
      <w:r w:rsidRPr="00D509CF">
        <w:rPr>
          <w:rFonts w:ascii="Arial" w:hAnsi="Arial" w:cs="Arial"/>
          <w:sz w:val="20"/>
          <w:szCs w:val="20"/>
          <w:lang w:val="en-US"/>
        </w:rPr>
        <w:t>Blonie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>, Poland, e-mail: a.pietrusinska@ihar.edu.pl</w:t>
      </w:r>
    </w:p>
    <w:p w:rsidR="001440BE" w:rsidRPr="00D509CF" w:rsidRDefault="001440BE" w:rsidP="00FC343C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D509CF">
        <w:rPr>
          <w:rFonts w:ascii="Arial" w:hAnsi="Arial" w:cs="Arial"/>
          <w:b/>
          <w:sz w:val="20"/>
          <w:szCs w:val="20"/>
          <w:lang w:val="en-US"/>
        </w:rPr>
        <w:t>Abstract</w:t>
      </w:r>
    </w:p>
    <w:p w:rsidR="001440BE" w:rsidRPr="00D509CF" w:rsidRDefault="001440BE" w:rsidP="00FC343C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Leaf rust, caused by </w:t>
      </w:r>
      <w:r w:rsidRPr="00D509CF">
        <w:rPr>
          <w:rFonts w:ascii="Arial" w:hAnsi="Arial" w:cs="Arial"/>
          <w:i/>
          <w:sz w:val="20"/>
          <w:szCs w:val="20"/>
          <w:lang w:val="en-US"/>
        </w:rPr>
        <w:t>Puccinia recondita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509CF">
        <w:rPr>
          <w:rFonts w:ascii="Arial" w:hAnsi="Arial" w:cs="Arial"/>
          <w:sz w:val="20"/>
          <w:szCs w:val="20"/>
          <w:lang w:val="en-US"/>
        </w:rPr>
        <w:t>f.sp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US"/>
        </w:rPr>
        <w:t>triticina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, and powdery mildew, caused by </w:t>
      </w:r>
      <w:r w:rsidRPr="00D509CF">
        <w:rPr>
          <w:rFonts w:ascii="Arial" w:hAnsi="Arial" w:cs="Arial"/>
          <w:i/>
          <w:sz w:val="20"/>
          <w:szCs w:val="20"/>
          <w:lang w:val="en-US"/>
        </w:rPr>
        <w:t xml:space="preserve">Blumeria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US"/>
        </w:rPr>
        <w:t>graminis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509CF">
        <w:rPr>
          <w:rFonts w:ascii="Arial" w:hAnsi="Arial" w:cs="Arial"/>
          <w:sz w:val="20"/>
          <w:szCs w:val="20"/>
          <w:lang w:val="en-US"/>
        </w:rPr>
        <w:t>f.sp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US"/>
        </w:rPr>
        <w:t>tritici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 xml:space="preserve">, are the most prevalent of all of the wheat diseases in many regions of the world including Poland. These two diseases can cause serious epidemics in Poland. </w:t>
      </w:r>
    </w:p>
    <w:p w:rsidR="001440BE" w:rsidRPr="00D509CF" w:rsidRDefault="001440BE" w:rsidP="00FC343C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>The aim of presented research is pyramiding of leaf rust and powdery mildew resistance genes, like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Lr47</w:t>
      </w:r>
      <w:r w:rsidRPr="00D509CF">
        <w:rPr>
          <w:rFonts w:ascii="Arial" w:hAnsi="Arial" w:cs="Arial"/>
          <w:sz w:val="20"/>
          <w:szCs w:val="20"/>
          <w:lang w:val="en-US"/>
        </w:rPr>
        <w:t>),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>),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Lr47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), </w:t>
      </w:r>
      <w:r w:rsidRPr="00D509CF">
        <w:rPr>
          <w:rFonts w:ascii="Arial" w:hAnsi="Arial" w:cs="Arial"/>
          <w:i/>
          <w:sz w:val="20"/>
          <w:szCs w:val="20"/>
          <w:lang w:val="en-US"/>
        </w:rPr>
        <w:t>(Lr41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Lr55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>) and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Lr55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) in a one genotype. </w:t>
      </w:r>
    </w:p>
    <w:p w:rsidR="006046EA" w:rsidRPr="00D509CF" w:rsidRDefault="006046EA" w:rsidP="00FC343C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The second objective of our study is to clarify the location </w:t>
      </w:r>
      <w:r w:rsidRPr="00EF52FC">
        <w:rPr>
          <w:rFonts w:ascii="Arial" w:hAnsi="Arial" w:cs="Arial"/>
          <w:i/>
          <w:sz w:val="20"/>
          <w:szCs w:val="20"/>
          <w:lang w:val="en-US"/>
        </w:rPr>
        <w:t>Lr55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 gene in wheat genome and mapping closely linked molecular markers suitable for markers assisted selection (MAS).</w:t>
      </w:r>
    </w:p>
    <w:p w:rsidR="001440BE" w:rsidRPr="00D509CF" w:rsidRDefault="001440BE" w:rsidP="0022319B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GB"/>
        </w:rPr>
      </w:pPr>
      <w:r w:rsidRPr="00D509CF">
        <w:rPr>
          <w:rFonts w:ascii="Arial" w:hAnsi="Arial" w:cs="Arial"/>
          <w:sz w:val="20"/>
          <w:szCs w:val="20"/>
          <w:lang w:val="en-GB"/>
        </w:rPr>
        <w:t xml:space="preserve">As the donor of resistance to leaf rust several lines were used. The line KS90WGRC10, which carries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Lr39 </w:t>
      </w:r>
      <w:r w:rsidRPr="00D509CF">
        <w:rPr>
          <w:rFonts w:ascii="Arial" w:hAnsi="Arial" w:cs="Arial"/>
          <w:sz w:val="20"/>
          <w:szCs w:val="20"/>
          <w:lang w:val="en-GB"/>
        </w:rPr>
        <w:t>(</w:t>
      </w:r>
      <w:r w:rsidRPr="00D509CF">
        <w:rPr>
          <w:rFonts w:ascii="Arial" w:hAnsi="Arial" w:cs="Arial"/>
          <w:i/>
          <w:sz w:val="20"/>
          <w:szCs w:val="20"/>
          <w:lang w:val="en-GB"/>
        </w:rPr>
        <w:t>= Lr41</w:t>
      </w:r>
      <w:r w:rsidRPr="00D509CF">
        <w:rPr>
          <w:rFonts w:ascii="Arial" w:hAnsi="Arial" w:cs="Arial"/>
          <w:sz w:val="20"/>
          <w:szCs w:val="20"/>
          <w:lang w:val="en-GB"/>
        </w:rPr>
        <w:t>)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 derived from the diploid wild wheat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Triticum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tauschii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(syn.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Aegilops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squarrosa</w:t>
      </w:r>
      <w:proofErr w:type="spellEnd"/>
      <w:r w:rsidRPr="00D509CF">
        <w:rPr>
          <w:rFonts w:ascii="Arial" w:hAnsi="Arial" w:cs="Arial"/>
          <w:sz w:val="20"/>
          <w:szCs w:val="20"/>
          <w:lang w:val="en-GB"/>
        </w:rPr>
        <w:t xml:space="preserve">). The line KS04WGRC45, that carries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Lr55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 derived from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>Elymus trachycaulus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. The line HRS </w:t>
      </w:r>
      <w:proofErr w:type="spellStart"/>
      <w:r w:rsidRPr="00D509CF">
        <w:rPr>
          <w:rFonts w:ascii="Arial" w:hAnsi="Arial" w:cs="Arial"/>
          <w:sz w:val="20"/>
          <w:szCs w:val="20"/>
          <w:lang w:val="en-GB"/>
        </w:rPr>
        <w:t>Yecora</w:t>
      </w:r>
      <w:proofErr w:type="spellEnd"/>
      <w:r w:rsidRPr="00D509CF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sz w:val="20"/>
          <w:szCs w:val="20"/>
          <w:lang w:val="en-GB"/>
        </w:rPr>
        <w:t>Rojo</w:t>
      </w:r>
      <w:proofErr w:type="spellEnd"/>
      <w:r w:rsidRPr="00D509CF">
        <w:rPr>
          <w:rFonts w:ascii="Arial" w:hAnsi="Arial" w:cs="Arial"/>
          <w:sz w:val="20"/>
          <w:szCs w:val="20"/>
          <w:lang w:val="en-GB"/>
        </w:rPr>
        <w:t xml:space="preserve">, which carries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Lr47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 derived from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Triticum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speltoides</w:t>
      </w:r>
      <w:proofErr w:type="spellEnd"/>
      <w:r w:rsidRPr="00D509CF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440BE" w:rsidRPr="00D509CF" w:rsidRDefault="001440BE" w:rsidP="00DA751F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GB"/>
        </w:rPr>
      </w:pPr>
      <w:r w:rsidRPr="00D509CF">
        <w:rPr>
          <w:rFonts w:ascii="Arial" w:hAnsi="Arial" w:cs="Arial"/>
          <w:sz w:val="20"/>
          <w:szCs w:val="20"/>
          <w:lang w:val="en-GB"/>
        </w:rPr>
        <w:t xml:space="preserve">As the donor of resistance to powdery mildew two lines were applied. A 6VS/6AL translocation line of Yangmai5 that carries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Pm21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 derived from the wild cv.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Dasypyrum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villosum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and line NC99BGTAG11, which carries the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Pm37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 derived from the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Triticum</w:t>
      </w:r>
      <w:proofErr w:type="spellEnd"/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GB"/>
        </w:rPr>
        <w:t>tiomopheevii</w:t>
      </w:r>
      <w:proofErr w:type="spellEnd"/>
      <w:r w:rsidRPr="00D509CF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6046EA" w:rsidRPr="00D509CF" w:rsidRDefault="001440BE" w:rsidP="006046EA">
      <w:pPr>
        <w:spacing w:after="0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To detect resistance genes (foreground selection) several molecular markers </w:t>
      </w:r>
      <w:r w:rsidR="006046EA" w:rsidRPr="00D509CF">
        <w:rPr>
          <w:rFonts w:ascii="Arial" w:hAnsi="Arial" w:cs="Arial"/>
          <w:sz w:val="20"/>
          <w:szCs w:val="20"/>
          <w:lang w:val="en-US"/>
        </w:rPr>
        <w:t xml:space="preserve">(SSR) 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for 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, 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, 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 and 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 were applied.</w:t>
      </w:r>
    </w:p>
    <w:p w:rsidR="001440BE" w:rsidRPr="00D509CF" w:rsidRDefault="001440BE" w:rsidP="006046EA">
      <w:pPr>
        <w:spacing w:after="0"/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D509CF">
        <w:rPr>
          <w:rFonts w:ascii="Arial" w:hAnsi="Arial" w:cs="Arial"/>
          <w:sz w:val="20"/>
          <w:szCs w:val="20"/>
          <w:lang w:val="en-US"/>
        </w:rPr>
        <w:t xml:space="preserve">In addition, plant materials were inoculated in the greenhouse at the three-leaf stage with a natural pathogen population of </w:t>
      </w:r>
      <w:r w:rsidRPr="00D509CF">
        <w:rPr>
          <w:rFonts w:ascii="Arial" w:hAnsi="Arial" w:cs="Arial"/>
          <w:i/>
          <w:sz w:val="20"/>
          <w:szCs w:val="20"/>
          <w:lang w:val="en-US"/>
        </w:rPr>
        <w:t>P. recondita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 and </w:t>
      </w:r>
      <w:r w:rsidRPr="00D509CF">
        <w:rPr>
          <w:rFonts w:ascii="Arial" w:hAnsi="Arial" w:cs="Arial"/>
          <w:i/>
          <w:sz w:val="20"/>
          <w:szCs w:val="20"/>
          <w:lang w:val="en-US"/>
        </w:rPr>
        <w:t xml:space="preserve">B. </w:t>
      </w:r>
      <w:proofErr w:type="spellStart"/>
      <w:r w:rsidRPr="00D509CF">
        <w:rPr>
          <w:rFonts w:ascii="Arial" w:hAnsi="Arial" w:cs="Arial"/>
          <w:i/>
          <w:sz w:val="20"/>
          <w:szCs w:val="20"/>
          <w:lang w:val="en-US"/>
        </w:rPr>
        <w:t>graminis</w:t>
      </w:r>
      <w:proofErr w:type="spellEnd"/>
      <w:r w:rsidRPr="00D509CF">
        <w:rPr>
          <w:rFonts w:ascii="Arial" w:hAnsi="Arial" w:cs="Arial"/>
          <w:sz w:val="20"/>
          <w:szCs w:val="20"/>
          <w:lang w:val="en-US"/>
        </w:rPr>
        <w:t>. The marker-assisted selection and resistance tests allowed to obtain lines carrying three or four resistance genes,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Lr47</w:t>
      </w:r>
      <w:r w:rsidRPr="00D509CF">
        <w:rPr>
          <w:rFonts w:ascii="Arial" w:hAnsi="Arial" w:cs="Arial"/>
          <w:sz w:val="20"/>
          <w:szCs w:val="20"/>
          <w:lang w:val="en-US"/>
        </w:rPr>
        <w:t>),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), </w:t>
      </w:r>
      <w:r w:rsidRPr="00D509CF">
        <w:rPr>
          <w:rFonts w:ascii="Arial" w:hAnsi="Arial" w:cs="Arial"/>
          <w:i/>
          <w:sz w:val="20"/>
          <w:szCs w:val="20"/>
          <w:lang w:val="en-US"/>
        </w:rPr>
        <w:t>(Lr41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Lr55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>),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Lr47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>), and (</w:t>
      </w:r>
      <w:r w:rsidRPr="00D509CF">
        <w:rPr>
          <w:rFonts w:ascii="Arial" w:hAnsi="Arial" w:cs="Arial"/>
          <w:i/>
          <w:sz w:val="20"/>
          <w:szCs w:val="20"/>
          <w:lang w:val="en-US"/>
        </w:rPr>
        <w:t>Lr41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Lr55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Pm21</w:t>
      </w:r>
      <w:r w:rsidRPr="00D509CF">
        <w:rPr>
          <w:rFonts w:ascii="Arial" w:hAnsi="Arial" w:cs="Arial"/>
          <w:sz w:val="20"/>
          <w:szCs w:val="20"/>
          <w:lang w:val="en-US"/>
        </w:rPr>
        <w:t>+</w:t>
      </w:r>
      <w:r w:rsidRPr="00D509CF">
        <w:rPr>
          <w:rFonts w:ascii="Arial" w:hAnsi="Arial" w:cs="Arial"/>
          <w:i/>
          <w:sz w:val="20"/>
          <w:szCs w:val="20"/>
          <w:lang w:val="en-US"/>
        </w:rPr>
        <w:t>Pm37</w:t>
      </w:r>
      <w:r w:rsidRPr="00D509CF">
        <w:rPr>
          <w:rFonts w:ascii="Arial" w:hAnsi="Arial" w:cs="Arial"/>
          <w:sz w:val="20"/>
          <w:szCs w:val="20"/>
          <w:lang w:val="en-US"/>
        </w:rPr>
        <w:t xml:space="preserve">) into a single genotype. </w:t>
      </w:r>
    </w:p>
    <w:p w:rsidR="006046EA" w:rsidRPr="00D509CF" w:rsidRDefault="006046EA" w:rsidP="009135D2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6046EA" w:rsidRPr="00D509CF" w:rsidRDefault="006046EA" w:rsidP="009135D2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440BE" w:rsidRPr="00D509CF" w:rsidRDefault="001440BE" w:rsidP="009135D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509CF">
        <w:rPr>
          <w:rFonts w:ascii="Arial" w:hAnsi="Arial" w:cs="Arial"/>
          <w:b/>
          <w:sz w:val="20"/>
          <w:szCs w:val="20"/>
          <w:lang w:val="en-GB"/>
        </w:rPr>
        <w:t xml:space="preserve">Key words: </w:t>
      </w:r>
      <w:r w:rsidRPr="00D509CF">
        <w:rPr>
          <w:rFonts w:ascii="Arial" w:hAnsi="Arial" w:cs="Arial"/>
          <w:sz w:val="20"/>
          <w:szCs w:val="20"/>
          <w:lang w:val="en-GB"/>
        </w:rPr>
        <w:t>gene pyramiding,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Lr41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gene, 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Lr47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gene, </w:t>
      </w:r>
      <w:r w:rsidR="00801247" w:rsidRPr="00D509CF">
        <w:rPr>
          <w:rFonts w:ascii="Arial" w:hAnsi="Arial" w:cs="Arial"/>
          <w:i/>
          <w:sz w:val="20"/>
          <w:szCs w:val="20"/>
          <w:lang w:val="en-GB"/>
        </w:rPr>
        <w:t>Lr55</w:t>
      </w:r>
      <w:r w:rsidR="00801247" w:rsidRPr="00D509CF">
        <w:rPr>
          <w:rFonts w:ascii="Arial" w:hAnsi="Arial" w:cs="Arial"/>
          <w:sz w:val="20"/>
          <w:szCs w:val="20"/>
          <w:lang w:val="en-GB"/>
        </w:rPr>
        <w:t xml:space="preserve"> gene, 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marker-assisted selection, </w:t>
      </w:r>
      <w:r w:rsidRPr="00D509CF">
        <w:rPr>
          <w:rFonts w:ascii="Arial" w:hAnsi="Arial" w:cs="Arial"/>
          <w:i/>
          <w:sz w:val="20"/>
          <w:szCs w:val="20"/>
          <w:lang w:val="en-GB"/>
        </w:rPr>
        <w:t>Pm21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 gene, </w:t>
      </w:r>
      <w:r w:rsidRPr="00D509CF">
        <w:rPr>
          <w:rFonts w:ascii="Arial" w:hAnsi="Arial" w:cs="Arial"/>
          <w:i/>
          <w:sz w:val="20"/>
          <w:szCs w:val="20"/>
          <w:lang w:val="en-GB"/>
        </w:rPr>
        <w:t>Pm37</w:t>
      </w:r>
      <w:r w:rsidRPr="00D509CF">
        <w:rPr>
          <w:rFonts w:ascii="Arial" w:hAnsi="Arial" w:cs="Arial"/>
          <w:sz w:val="20"/>
          <w:szCs w:val="20"/>
          <w:lang w:val="en-GB"/>
        </w:rPr>
        <w:t xml:space="preserve"> gene,</w:t>
      </w:r>
      <w:r w:rsidRPr="00D509C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01247" w:rsidRPr="00D509CF">
        <w:rPr>
          <w:rFonts w:ascii="Arial" w:hAnsi="Arial" w:cs="Arial"/>
          <w:sz w:val="20"/>
          <w:szCs w:val="20"/>
          <w:lang w:val="en-GB"/>
        </w:rPr>
        <w:t>wheat</w:t>
      </w:r>
    </w:p>
    <w:p w:rsidR="001440BE" w:rsidRPr="00D509CF" w:rsidRDefault="001440BE" w:rsidP="009135D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:rsidR="00AF492A" w:rsidRPr="00AF492A" w:rsidRDefault="00AF492A" w:rsidP="00AF492A">
      <w:pPr>
        <w:rPr>
          <w:rFonts w:ascii="Arial" w:hAnsi="Arial" w:cs="Arial"/>
          <w:sz w:val="20"/>
          <w:szCs w:val="20"/>
          <w:lang w:val="en-GB"/>
        </w:rPr>
      </w:pPr>
      <w:r w:rsidRPr="00AF492A">
        <w:rPr>
          <w:rFonts w:ascii="Arial" w:hAnsi="Arial" w:cs="Arial"/>
          <w:sz w:val="20"/>
          <w:szCs w:val="20"/>
          <w:lang w:val="en-GB"/>
        </w:rPr>
        <w:t xml:space="preserve">Leaf rust, caused by Puccinia recondita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f.sp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triticina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, and powdery mildew, caused by Blumeria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graminis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f.sp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tritici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, are the most prevalent of all of the wheat diseases in many regions of the world including Poland. These two diseases can cause serious epidemics in Poland. </w:t>
      </w:r>
    </w:p>
    <w:p w:rsidR="00AF492A" w:rsidRPr="00AF492A" w:rsidRDefault="00AF492A" w:rsidP="00AF492A">
      <w:pPr>
        <w:rPr>
          <w:rFonts w:ascii="Arial" w:hAnsi="Arial" w:cs="Arial"/>
          <w:sz w:val="20"/>
          <w:szCs w:val="20"/>
          <w:lang w:val="en-GB"/>
        </w:rPr>
      </w:pPr>
      <w:r w:rsidRPr="00AF492A">
        <w:rPr>
          <w:rFonts w:ascii="Arial" w:hAnsi="Arial" w:cs="Arial"/>
          <w:sz w:val="20"/>
          <w:szCs w:val="20"/>
          <w:lang w:val="en-GB"/>
        </w:rPr>
        <w:t xml:space="preserve">The aim of presented research is pyramiding of leaf rust and powdery mildew resistance genes, like (Lr41+Pm21+Lr47), (Lr41+Pm21+Pm37), (Lr41+Lr47+Pm21+Pm37), (Lr41+Lr55+Pm37) and (Lr41+Lr55+Pm21+Pm37) in a one genotype. </w:t>
      </w:r>
    </w:p>
    <w:p w:rsidR="00AF492A" w:rsidRPr="00AF492A" w:rsidRDefault="00AF492A" w:rsidP="00AF492A">
      <w:pPr>
        <w:rPr>
          <w:rFonts w:ascii="Arial" w:hAnsi="Arial" w:cs="Arial"/>
          <w:sz w:val="20"/>
          <w:szCs w:val="20"/>
          <w:lang w:val="en-GB"/>
        </w:rPr>
      </w:pPr>
      <w:r w:rsidRPr="00AF492A">
        <w:rPr>
          <w:rFonts w:ascii="Arial" w:hAnsi="Arial" w:cs="Arial"/>
          <w:sz w:val="20"/>
          <w:szCs w:val="20"/>
          <w:lang w:val="en-GB"/>
        </w:rPr>
        <w:t xml:space="preserve">As the donor of resistance to leaf rust several lines were used. The line KS90WGRC10, which carries the Lr39 (= Lr41) gene derived from the diploid wild wheat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Triticum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tauschii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(syn.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Aegilops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squarrosa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). The line KS04WGRC45, that carries the Lr55 gene derived from the Elymus trachycaulus. The line HRS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Yecora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Rojo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, which carries the Lr47 gene derived from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Triticum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speltoides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AF492A" w:rsidRPr="00AF492A" w:rsidRDefault="00AF492A" w:rsidP="00AF492A">
      <w:pPr>
        <w:rPr>
          <w:rFonts w:ascii="Arial" w:hAnsi="Arial" w:cs="Arial"/>
          <w:sz w:val="20"/>
          <w:szCs w:val="20"/>
          <w:lang w:val="en-GB"/>
        </w:rPr>
      </w:pPr>
      <w:r w:rsidRPr="00AF492A">
        <w:rPr>
          <w:rFonts w:ascii="Arial" w:hAnsi="Arial" w:cs="Arial"/>
          <w:sz w:val="20"/>
          <w:szCs w:val="20"/>
          <w:lang w:val="en-GB"/>
        </w:rPr>
        <w:t xml:space="preserve">As the donor of resistance to powdery mildew two lines were applied. A 6VS/6AL translocation line of Yangmai5 that carries the Pm21 gene derived from the wild cv.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Dasypyrum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villosum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and line NC99BGTAG11, which carries the Pm37 gene derived from the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Triticum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tiomopheevii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440BE" w:rsidRPr="00D509CF" w:rsidRDefault="00AF492A" w:rsidP="00AF492A">
      <w:pPr>
        <w:rPr>
          <w:rFonts w:ascii="Arial" w:hAnsi="Arial" w:cs="Arial"/>
          <w:sz w:val="20"/>
          <w:szCs w:val="20"/>
          <w:lang w:val="en-GB"/>
        </w:rPr>
      </w:pPr>
      <w:r w:rsidRPr="00AF492A">
        <w:rPr>
          <w:rFonts w:ascii="Arial" w:hAnsi="Arial" w:cs="Arial"/>
          <w:sz w:val="20"/>
          <w:szCs w:val="20"/>
          <w:lang w:val="en-GB"/>
        </w:rPr>
        <w:lastRenderedPageBreak/>
        <w:t xml:space="preserve">To detect resistance genes (foreground selection) several molecular markers for Lr41, Pm21, Lr47 and Pm37 were applied. In addition, plant materials were inoculated in the greenhouse at the three-leaf stage with a natural pathogen population of P. recondita and B. </w:t>
      </w:r>
      <w:proofErr w:type="spellStart"/>
      <w:r w:rsidRPr="00AF492A">
        <w:rPr>
          <w:rFonts w:ascii="Arial" w:hAnsi="Arial" w:cs="Arial"/>
          <w:sz w:val="20"/>
          <w:szCs w:val="20"/>
          <w:lang w:val="en-GB"/>
        </w:rPr>
        <w:t>graminis</w:t>
      </w:r>
      <w:proofErr w:type="spellEnd"/>
      <w:r w:rsidRPr="00AF492A">
        <w:rPr>
          <w:rFonts w:ascii="Arial" w:hAnsi="Arial" w:cs="Arial"/>
          <w:sz w:val="20"/>
          <w:szCs w:val="20"/>
          <w:lang w:val="en-GB"/>
        </w:rPr>
        <w:t>. The marker-assisted selection and resistance tests allowed to obtain lines carrying three or four resistance genes, (Lr41+Pm21+Lr47), (Lr41+Pm21+Pm37), (Lr41+Lr55+Pm37), (Lr41+Lr47+Pm21+Pm37), and (Lr41+Lr55+Pm21+Pm37) into a single genotype.</w:t>
      </w:r>
      <w:bookmarkStart w:id="0" w:name="_GoBack"/>
      <w:bookmarkEnd w:id="0"/>
    </w:p>
    <w:sectPr w:rsidR="001440BE" w:rsidRPr="00D509CF" w:rsidSect="00731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DF"/>
    <w:rsid w:val="001440BE"/>
    <w:rsid w:val="0022319B"/>
    <w:rsid w:val="0026424B"/>
    <w:rsid w:val="002664EE"/>
    <w:rsid w:val="003F7F70"/>
    <w:rsid w:val="00405780"/>
    <w:rsid w:val="00470D76"/>
    <w:rsid w:val="00577922"/>
    <w:rsid w:val="006046EA"/>
    <w:rsid w:val="00731D98"/>
    <w:rsid w:val="00801247"/>
    <w:rsid w:val="008B14F2"/>
    <w:rsid w:val="008E4125"/>
    <w:rsid w:val="009135D2"/>
    <w:rsid w:val="00960BDF"/>
    <w:rsid w:val="009E143F"/>
    <w:rsid w:val="00A40D55"/>
    <w:rsid w:val="00AB65D9"/>
    <w:rsid w:val="00AF492A"/>
    <w:rsid w:val="00B12C27"/>
    <w:rsid w:val="00BE1C9A"/>
    <w:rsid w:val="00D509CF"/>
    <w:rsid w:val="00DA751F"/>
    <w:rsid w:val="00E32BF6"/>
    <w:rsid w:val="00EF52FC"/>
    <w:rsid w:val="00F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5D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5D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Wild Wheat as source of resistance to leaf rust and powdery mildew</vt:lpstr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Wheat as source of resistance to leaf rust and powdery mildew</dc:title>
  <dc:creator>Aleksandra Pietrusińska</dc:creator>
  <cp:lastModifiedBy>Aleksandra Pietrusińska</cp:lastModifiedBy>
  <cp:revision>6</cp:revision>
  <cp:lastPrinted>2014-04-04T08:55:00Z</cp:lastPrinted>
  <dcterms:created xsi:type="dcterms:W3CDTF">2014-04-04T09:00:00Z</dcterms:created>
  <dcterms:modified xsi:type="dcterms:W3CDTF">2014-11-19T14:33:00Z</dcterms:modified>
</cp:coreProperties>
</file>