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85" w:rsidRPr="005D7FF9" w:rsidRDefault="00A66E85" w:rsidP="00A66E85">
      <w:pPr>
        <w:ind w:left="1560" w:hanging="1560"/>
        <w:rPr>
          <w:b/>
          <w:sz w:val="22"/>
          <w:szCs w:val="22"/>
        </w:rPr>
      </w:pPr>
      <w:r w:rsidRPr="005D7FF9">
        <w:rPr>
          <w:noProof w:val="0"/>
          <w:sz w:val="22"/>
          <w:szCs w:val="22"/>
          <w:lang w:eastAsia="pl-PL"/>
        </w:rPr>
        <w:t>Tytuł zadania:</w:t>
      </w:r>
      <w:r w:rsidRPr="005D7FF9">
        <w:rPr>
          <w:b/>
          <w:noProof w:val="0"/>
          <w:sz w:val="22"/>
          <w:szCs w:val="22"/>
          <w:lang w:eastAsia="pl-PL"/>
        </w:rPr>
        <w:t xml:space="preserve"> </w:t>
      </w:r>
      <w:r w:rsidRPr="005D7FF9">
        <w:rPr>
          <w:b/>
          <w:sz w:val="22"/>
          <w:szCs w:val="22"/>
        </w:rPr>
        <w:t xml:space="preserve"> </w:t>
      </w:r>
      <w:r w:rsidRPr="005D7FF9">
        <w:rPr>
          <w:b/>
          <w:sz w:val="22"/>
          <w:szCs w:val="22"/>
          <w:lang w:eastAsia="pl-PL"/>
        </w:rPr>
        <w:t xml:space="preserve">Poszukiwanie form kukurydzy o wysokiej odporności na fuzariozę kolb i zgorzel podstawy łodygi powodowane przez grzyby z rodzaju </w:t>
      </w:r>
      <w:r w:rsidRPr="005D7FF9">
        <w:rPr>
          <w:b/>
          <w:i/>
          <w:iCs/>
          <w:sz w:val="22"/>
          <w:szCs w:val="22"/>
          <w:lang w:eastAsia="pl-PL"/>
        </w:rPr>
        <w:t xml:space="preserve">Fusarium </w:t>
      </w:r>
      <w:r w:rsidRPr="005D7FF9">
        <w:rPr>
          <w:b/>
          <w:sz w:val="22"/>
          <w:szCs w:val="22"/>
          <w:lang w:eastAsia="pl-PL"/>
        </w:rPr>
        <w:t>spp.</w:t>
      </w:r>
    </w:p>
    <w:p w:rsidR="00A66E85" w:rsidRPr="006E35F1" w:rsidRDefault="00A66E85" w:rsidP="00A66E85">
      <w:pPr>
        <w:ind w:left="1560" w:hanging="1560"/>
      </w:pPr>
    </w:p>
    <w:p w:rsidR="00A66E85" w:rsidRDefault="00880C5F" w:rsidP="00A66E85">
      <w:pPr>
        <w:ind w:left="1560" w:hanging="1560"/>
        <w:rPr>
          <w:bCs/>
          <w:lang w:eastAsia="pl-PL"/>
        </w:rPr>
      </w:pPr>
      <w:r>
        <w:rPr>
          <w:bCs/>
          <w:lang w:eastAsia="pl-PL"/>
        </w:rPr>
        <w:t>Kierownik tematu: dr hab. Elżbieta Kochańska – Czembor, prof. nadzw. IHAR-PIB</w:t>
      </w:r>
    </w:p>
    <w:p w:rsidR="00880C5F" w:rsidRPr="006E35F1" w:rsidRDefault="00880C5F" w:rsidP="00A66E85">
      <w:pPr>
        <w:ind w:left="1560" w:hanging="1560"/>
        <w:rPr>
          <w:bCs/>
          <w:lang w:eastAsia="pl-PL"/>
        </w:rPr>
      </w:pPr>
    </w:p>
    <w:p w:rsidR="009E5AF2" w:rsidRPr="00772B1A" w:rsidRDefault="00A66E85" w:rsidP="00AD4BF7">
      <w:pPr>
        <w:pStyle w:val="Akapitzlist"/>
        <w:spacing w:after="0" w:line="240" w:lineRule="auto"/>
        <w:ind w:left="0" w:firstLine="567"/>
        <w:jc w:val="both"/>
        <w:rPr>
          <w:sz w:val="22"/>
        </w:rPr>
      </w:pPr>
      <w:r w:rsidRPr="00772B1A">
        <w:rPr>
          <w:sz w:val="22"/>
          <w:lang w:eastAsia="pl-PL"/>
        </w:rPr>
        <w:t>Celem zadania jest i</w:t>
      </w:r>
      <w:r w:rsidRPr="00772B1A">
        <w:rPr>
          <w:sz w:val="22"/>
        </w:rPr>
        <w:t>dentyfikacja cech fenotypowych kukurydzy warunkujących jej odporność na fuzariozę kolb i zgorzel podstawy łodygi oraz określenie efektywności tych cech w programach</w:t>
      </w:r>
      <w:r w:rsidR="009E5AF2" w:rsidRPr="00772B1A">
        <w:rPr>
          <w:sz w:val="22"/>
        </w:rPr>
        <w:t xml:space="preserve"> poszukiwania źródeł odporności</w:t>
      </w:r>
      <w:r w:rsidRPr="00772B1A">
        <w:rPr>
          <w:sz w:val="22"/>
        </w:rPr>
        <w:t xml:space="preserve">. </w:t>
      </w:r>
    </w:p>
    <w:p w:rsidR="005D7FF9" w:rsidRPr="00772B1A" w:rsidRDefault="005D7FF9" w:rsidP="00AD4BF7">
      <w:pPr>
        <w:pStyle w:val="Akapitzlist"/>
        <w:spacing w:after="0" w:line="240" w:lineRule="auto"/>
        <w:ind w:left="0" w:firstLine="567"/>
        <w:jc w:val="both"/>
        <w:rPr>
          <w:sz w:val="22"/>
        </w:rPr>
      </w:pPr>
    </w:p>
    <w:p w:rsidR="00880C5F" w:rsidRPr="00772B1A" w:rsidRDefault="00880C5F" w:rsidP="00AD4BF7">
      <w:pPr>
        <w:jc w:val="both"/>
        <w:rPr>
          <w:i/>
          <w:sz w:val="22"/>
          <w:szCs w:val="22"/>
        </w:rPr>
      </w:pPr>
      <w:r w:rsidRPr="00772B1A">
        <w:rPr>
          <w:i/>
          <w:sz w:val="22"/>
          <w:szCs w:val="22"/>
        </w:rPr>
        <w:t xml:space="preserve">Charakterystyka </w:t>
      </w:r>
      <w:r w:rsidR="00772B1A">
        <w:rPr>
          <w:i/>
          <w:sz w:val="22"/>
          <w:szCs w:val="22"/>
        </w:rPr>
        <w:t xml:space="preserve">linii </w:t>
      </w:r>
      <w:r w:rsidRPr="00772B1A">
        <w:rPr>
          <w:i/>
          <w:sz w:val="22"/>
          <w:szCs w:val="22"/>
        </w:rPr>
        <w:t>róznicując</w:t>
      </w:r>
      <w:r w:rsidR="00772B1A">
        <w:rPr>
          <w:i/>
          <w:sz w:val="22"/>
          <w:szCs w:val="22"/>
        </w:rPr>
        <w:t>ych</w:t>
      </w:r>
    </w:p>
    <w:p w:rsidR="00880C5F" w:rsidRPr="00772B1A" w:rsidRDefault="00880C5F" w:rsidP="00AD4BF7">
      <w:pPr>
        <w:jc w:val="both"/>
        <w:rPr>
          <w:sz w:val="22"/>
          <w:szCs w:val="22"/>
        </w:rPr>
      </w:pPr>
    </w:p>
    <w:p w:rsidR="00772B1A" w:rsidRDefault="009E5AF2" w:rsidP="00AD4BF7">
      <w:pPr>
        <w:tabs>
          <w:tab w:val="left" w:pos="2758"/>
        </w:tabs>
        <w:ind w:firstLine="567"/>
        <w:jc w:val="both"/>
        <w:rPr>
          <w:sz w:val="22"/>
          <w:szCs w:val="22"/>
        </w:rPr>
      </w:pPr>
      <w:r w:rsidRPr="00772B1A">
        <w:rPr>
          <w:sz w:val="22"/>
          <w:szCs w:val="22"/>
        </w:rPr>
        <w:t>Aby zidentyfikować cechy, które potencjalnie mogą warunkować odporność kukurydzy na fuzariozę kolb lub zgorzel podstawy łodyg</w:t>
      </w:r>
      <w:r w:rsidR="00A316E5" w:rsidRPr="00772B1A">
        <w:rPr>
          <w:sz w:val="22"/>
          <w:szCs w:val="22"/>
        </w:rPr>
        <w:t>i</w:t>
      </w:r>
      <w:r w:rsidRPr="00772B1A">
        <w:rPr>
          <w:sz w:val="22"/>
          <w:szCs w:val="22"/>
        </w:rPr>
        <w:t xml:space="preserve"> </w:t>
      </w:r>
      <w:r w:rsidR="00F84509" w:rsidRPr="00772B1A">
        <w:rPr>
          <w:sz w:val="22"/>
          <w:szCs w:val="22"/>
        </w:rPr>
        <w:t>scharakteryzowano zestaw elitarnych linii wsobnych</w:t>
      </w:r>
      <w:r w:rsidR="008F73FB" w:rsidRPr="00772B1A">
        <w:rPr>
          <w:sz w:val="22"/>
          <w:szCs w:val="22"/>
        </w:rPr>
        <w:t xml:space="preserve"> (poziom wsobności F</w:t>
      </w:r>
      <w:r w:rsidR="008F73FB" w:rsidRPr="00772B1A">
        <w:rPr>
          <w:sz w:val="22"/>
          <w:szCs w:val="22"/>
          <w:vertAlign w:val="subscript"/>
        </w:rPr>
        <w:t>9</w:t>
      </w:r>
      <w:r w:rsidR="008F73FB" w:rsidRPr="00772B1A">
        <w:rPr>
          <w:sz w:val="22"/>
          <w:szCs w:val="22"/>
        </w:rPr>
        <w:t>)</w:t>
      </w:r>
      <w:r w:rsidR="00F84509" w:rsidRPr="00772B1A">
        <w:rPr>
          <w:sz w:val="22"/>
          <w:szCs w:val="22"/>
        </w:rPr>
        <w:t>. I</w:t>
      </w:r>
      <w:r w:rsidR="00A66E85" w:rsidRPr="00772B1A">
        <w:rPr>
          <w:sz w:val="22"/>
          <w:szCs w:val="22"/>
        </w:rPr>
        <w:t xml:space="preserve">ch stopień odporności na fuzariozę kolb oceniano na podstawie dynamiki rozwoju choroby oraz kinetyki gromadzenia deoksyniwalenolu w ziarnie i osadkach. Próby ziarna i osadek pobierano z roślin, które zakażano sztucznie zawiesiną zarodników </w:t>
      </w:r>
      <w:r w:rsidR="00A66E85" w:rsidRPr="00772B1A">
        <w:rPr>
          <w:i/>
          <w:sz w:val="22"/>
          <w:szCs w:val="22"/>
        </w:rPr>
        <w:t>Fusarium graminearum</w:t>
      </w:r>
      <w:r w:rsidR="00A66E85" w:rsidRPr="00772B1A">
        <w:rPr>
          <w:sz w:val="22"/>
          <w:szCs w:val="22"/>
        </w:rPr>
        <w:t xml:space="preserve"> oraz z tych, które rosły przy infekcji naturalnej - w </w:t>
      </w:r>
      <w:r w:rsidR="00F84509" w:rsidRPr="00772B1A">
        <w:rPr>
          <w:sz w:val="22"/>
          <w:szCs w:val="22"/>
        </w:rPr>
        <w:t xml:space="preserve">2 </w:t>
      </w:r>
      <w:r w:rsidR="00A66E85" w:rsidRPr="00772B1A">
        <w:rPr>
          <w:sz w:val="22"/>
          <w:szCs w:val="22"/>
        </w:rPr>
        <w:t xml:space="preserve">terminach: w fazie dojrzałości woskowej i pełnej. </w:t>
      </w:r>
    </w:p>
    <w:p w:rsidR="00772B1A" w:rsidRDefault="00772B1A" w:rsidP="00AD4BF7">
      <w:pPr>
        <w:tabs>
          <w:tab w:val="left" w:pos="2758"/>
        </w:tabs>
        <w:ind w:firstLine="567"/>
        <w:jc w:val="both"/>
        <w:rPr>
          <w:bCs/>
          <w:iCs/>
          <w:sz w:val="22"/>
          <w:szCs w:val="22"/>
        </w:rPr>
      </w:pPr>
      <w:r w:rsidRPr="00772B1A">
        <w:rPr>
          <w:sz w:val="22"/>
          <w:szCs w:val="22"/>
        </w:rPr>
        <w:t xml:space="preserve">W grupie uwzględnionych cech feotypowych roslin były: </w:t>
      </w:r>
      <w:r w:rsidRPr="00772B1A">
        <w:rPr>
          <w:bCs/>
          <w:iCs/>
          <w:sz w:val="22"/>
          <w:szCs w:val="22"/>
        </w:rPr>
        <w:t>(1) wysokość roślin, (2) wczesność (liczba dni od daty siewu do daty kwitnienia kwiatostanów męskich), morfologia kwiatostanów żeńskich: (3) długość kolby (cm), (4) długość kanału od końca osadki kolby do końca liści okrywowych (cm), (5) długość słupków nie pokrytych liśćmi okrywowymi (cm), (6) zbitość liści okrywowych (skala 1</w:t>
      </w:r>
      <w:r w:rsidRPr="00772B1A">
        <w:rPr>
          <w:sz w:val="22"/>
          <w:szCs w:val="22"/>
        </w:rPr>
        <w:t>–</w:t>
      </w:r>
      <w:r w:rsidRPr="00772B1A">
        <w:rPr>
          <w:bCs/>
          <w:iCs/>
          <w:sz w:val="22"/>
          <w:szCs w:val="22"/>
        </w:rPr>
        <w:t xml:space="preserve">5, 1 </w:t>
      </w:r>
      <w:r w:rsidRPr="00772B1A">
        <w:rPr>
          <w:sz w:val="22"/>
          <w:szCs w:val="22"/>
        </w:rPr>
        <w:t xml:space="preserve">– </w:t>
      </w:r>
      <w:r w:rsidRPr="00772B1A">
        <w:rPr>
          <w:bCs/>
          <w:iCs/>
          <w:sz w:val="22"/>
          <w:szCs w:val="22"/>
        </w:rPr>
        <w:t xml:space="preserve">bardzo luźne), (7) zawartość anocyjanu – wizualnie w słupkach, osadkach, ziarnie i łodydze, (8) złożoność wiechy kwiatostanów męskich. </w:t>
      </w:r>
    </w:p>
    <w:p w:rsidR="00772B1A" w:rsidRPr="00772B1A" w:rsidRDefault="00772B1A" w:rsidP="00AD4BF7">
      <w:pPr>
        <w:tabs>
          <w:tab w:val="left" w:pos="2758"/>
        </w:tabs>
        <w:ind w:firstLine="567"/>
        <w:jc w:val="both"/>
        <w:rPr>
          <w:bCs/>
          <w:iCs/>
          <w:sz w:val="22"/>
          <w:szCs w:val="22"/>
        </w:rPr>
      </w:pPr>
    </w:p>
    <w:p w:rsidR="008118CB" w:rsidRDefault="00F84509" w:rsidP="00AD4BF7">
      <w:pPr>
        <w:pStyle w:val="Akapitzlist"/>
        <w:spacing w:after="0" w:line="240" w:lineRule="auto"/>
        <w:ind w:left="0" w:firstLine="567"/>
        <w:jc w:val="both"/>
        <w:rPr>
          <w:sz w:val="22"/>
        </w:rPr>
      </w:pPr>
      <w:r w:rsidRPr="00772B1A">
        <w:rPr>
          <w:sz w:val="22"/>
        </w:rPr>
        <w:t>Na podstawie uzyskanych wyników stwierdzono</w:t>
      </w:r>
      <w:r w:rsidR="00315591" w:rsidRPr="00772B1A">
        <w:rPr>
          <w:sz w:val="22"/>
        </w:rPr>
        <w:t>, że</w:t>
      </w:r>
      <w:r w:rsidRPr="00772B1A">
        <w:rPr>
          <w:sz w:val="22"/>
        </w:rPr>
        <w:t xml:space="preserve">: (1) </w:t>
      </w:r>
      <w:r w:rsidR="008118CB" w:rsidRPr="00772B1A">
        <w:rPr>
          <w:color w:val="000000"/>
          <w:sz w:val="22"/>
        </w:rPr>
        <w:t>istotny wpływ terminu oceny oraz genotypu na stopień porażenia roślin</w:t>
      </w:r>
      <w:r w:rsidRPr="00772B1A">
        <w:rPr>
          <w:color w:val="000000"/>
          <w:sz w:val="22"/>
        </w:rPr>
        <w:t>; z</w:t>
      </w:r>
      <w:r w:rsidR="008118CB" w:rsidRPr="00772B1A">
        <w:rPr>
          <w:color w:val="000000"/>
          <w:sz w:val="22"/>
        </w:rPr>
        <w:t>arówno po zakażeniach sztucznych jak i przy infekcji naturalnej w miarę upływu czasu nasilenie choroby rosło, jednak przy infekcji naturalnej różnice były niewielkie</w:t>
      </w:r>
      <w:r w:rsidRPr="00772B1A">
        <w:rPr>
          <w:color w:val="000000"/>
          <w:sz w:val="22"/>
        </w:rPr>
        <w:t xml:space="preserve">, (2) </w:t>
      </w:r>
      <w:r w:rsidR="008118CB" w:rsidRPr="00772B1A">
        <w:rPr>
          <w:color w:val="000000"/>
          <w:sz w:val="22"/>
        </w:rPr>
        <w:t xml:space="preserve">istotny wpływ genotypu i terminu zbioru prób ziarna na ich poziom skażenia </w:t>
      </w:r>
      <w:proofErr w:type="spellStart"/>
      <w:r w:rsidR="008118CB" w:rsidRPr="00772B1A">
        <w:rPr>
          <w:color w:val="000000"/>
          <w:sz w:val="22"/>
        </w:rPr>
        <w:t>deoksyniwalenolem</w:t>
      </w:r>
      <w:proofErr w:type="spellEnd"/>
      <w:r w:rsidR="008118CB" w:rsidRPr="00772B1A">
        <w:rPr>
          <w:color w:val="000000"/>
          <w:sz w:val="22"/>
        </w:rPr>
        <w:t xml:space="preserve"> na przestrzeni czasu</w:t>
      </w:r>
      <w:r w:rsidRPr="00772B1A">
        <w:rPr>
          <w:color w:val="000000"/>
          <w:sz w:val="22"/>
        </w:rPr>
        <w:t xml:space="preserve">, (3) </w:t>
      </w:r>
      <w:r w:rsidR="008118CB" w:rsidRPr="00772B1A">
        <w:rPr>
          <w:color w:val="000000"/>
          <w:sz w:val="22"/>
        </w:rPr>
        <w:t xml:space="preserve">dodatnią współzależność pomiędzy stopniem odporności roślin na porażenie przez </w:t>
      </w:r>
      <w:r w:rsidR="008118CB" w:rsidRPr="00772B1A">
        <w:rPr>
          <w:i/>
          <w:color w:val="000000"/>
          <w:sz w:val="22"/>
        </w:rPr>
        <w:t>F</w:t>
      </w:r>
      <w:r w:rsidR="00053C77" w:rsidRPr="00772B1A">
        <w:rPr>
          <w:i/>
          <w:color w:val="000000"/>
          <w:sz w:val="22"/>
        </w:rPr>
        <w:t>.</w:t>
      </w:r>
      <w:r w:rsidR="008118CB" w:rsidRPr="00772B1A">
        <w:rPr>
          <w:i/>
          <w:color w:val="000000"/>
          <w:sz w:val="22"/>
        </w:rPr>
        <w:t xml:space="preserve"> </w:t>
      </w:r>
      <w:proofErr w:type="spellStart"/>
      <w:r w:rsidR="008118CB" w:rsidRPr="00772B1A">
        <w:rPr>
          <w:i/>
          <w:color w:val="000000"/>
          <w:sz w:val="22"/>
        </w:rPr>
        <w:t>graminearum</w:t>
      </w:r>
      <w:proofErr w:type="spellEnd"/>
      <w:r w:rsidR="008118CB" w:rsidRPr="00772B1A">
        <w:rPr>
          <w:color w:val="000000"/>
          <w:sz w:val="22"/>
        </w:rPr>
        <w:t xml:space="preserve"> a poziomem skażenia prób ziarna pobranych w poszczególnych terminach</w:t>
      </w:r>
      <w:r w:rsidR="00053C77" w:rsidRPr="00772B1A">
        <w:rPr>
          <w:color w:val="000000"/>
          <w:sz w:val="22"/>
        </w:rPr>
        <w:t>, (4) z</w:t>
      </w:r>
      <w:r w:rsidR="008118CB" w:rsidRPr="00772B1A">
        <w:rPr>
          <w:sz w:val="22"/>
        </w:rPr>
        <w:t>bitość liści okrywowych, długość znamion słupków, które nie były przykryte liśćmi okrywowymi, zawartość antocyjanu w słupkach, osadkach istotnie wpływały na rozwój choroby i zawartość DON w ziarnie (współzależności ujemne)</w:t>
      </w:r>
      <w:r w:rsidR="00053C77" w:rsidRPr="00772B1A">
        <w:rPr>
          <w:sz w:val="22"/>
        </w:rPr>
        <w:t>, (5) z</w:t>
      </w:r>
      <w:r w:rsidR="008118CB" w:rsidRPr="00772B1A">
        <w:rPr>
          <w:color w:val="000000"/>
          <w:sz w:val="22"/>
        </w:rPr>
        <w:t>awartość antocyjanu w łodygach w sposób istotny wpływała na stopień odporności na zgorzel podstawy łodygi (współzależności ujemne)</w:t>
      </w:r>
      <w:r w:rsidR="00053C77" w:rsidRPr="00772B1A">
        <w:rPr>
          <w:color w:val="000000"/>
          <w:sz w:val="22"/>
        </w:rPr>
        <w:t>, (6) n</w:t>
      </w:r>
      <w:r w:rsidR="008118CB" w:rsidRPr="00772B1A">
        <w:rPr>
          <w:sz w:val="22"/>
        </w:rPr>
        <w:t>ajlepszym wskaźnikiem stopnia odporności na fuzariozę kolb jest zawartość DON w osadkach a cechy fenotypowe mogą wspomagać proces selekcji</w:t>
      </w:r>
      <w:r w:rsidR="00053C77" w:rsidRPr="00772B1A">
        <w:rPr>
          <w:sz w:val="22"/>
        </w:rPr>
        <w:t>.</w:t>
      </w:r>
    </w:p>
    <w:p w:rsidR="00772B1A" w:rsidRDefault="00772B1A" w:rsidP="00AD4BF7">
      <w:pPr>
        <w:jc w:val="both"/>
        <w:rPr>
          <w:sz w:val="22"/>
        </w:rPr>
      </w:pPr>
    </w:p>
    <w:p w:rsidR="00772B1A" w:rsidRDefault="00772B1A" w:rsidP="00AD4BF7">
      <w:pPr>
        <w:jc w:val="both"/>
        <w:rPr>
          <w:i/>
          <w:sz w:val="22"/>
        </w:rPr>
      </w:pPr>
      <w:r w:rsidRPr="00772B1A">
        <w:rPr>
          <w:i/>
          <w:sz w:val="22"/>
        </w:rPr>
        <w:t xml:space="preserve">Charakterystyka mieszańców pokolenia </w:t>
      </w:r>
      <w:r w:rsidRPr="00772B1A">
        <w:rPr>
          <w:i/>
          <w:color w:val="000000"/>
          <w:sz w:val="22"/>
          <w:szCs w:val="22"/>
        </w:rPr>
        <w:t>F</w:t>
      </w:r>
      <w:r w:rsidRPr="00772B1A">
        <w:rPr>
          <w:i/>
          <w:color w:val="000000"/>
          <w:sz w:val="22"/>
          <w:szCs w:val="22"/>
          <w:vertAlign w:val="subscript"/>
        </w:rPr>
        <w:t>1</w:t>
      </w:r>
      <w:r w:rsidRPr="00772B1A">
        <w:rPr>
          <w:i/>
          <w:sz w:val="22"/>
        </w:rPr>
        <w:t xml:space="preserve"> </w:t>
      </w:r>
    </w:p>
    <w:p w:rsidR="00772B1A" w:rsidRPr="00772B1A" w:rsidRDefault="00772B1A" w:rsidP="00AD4BF7">
      <w:pPr>
        <w:jc w:val="both"/>
        <w:rPr>
          <w:i/>
          <w:sz w:val="22"/>
        </w:rPr>
      </w:pPr>
    </w:p>
    <w:p w:rsidR="00772B1A" w:rsidRPr="00772B1A" w:rsidRDefault="003A4BB5" w:rsidP="00AD4BF7">
      <w:pPr>
        <w:pStyle w:val="Akapitzlist"/>
        <w:spacing w:after="0" w:line="240" w:lineRule="auto"/>
        <w:ind w:left="0" w:firstLine="567"/>
        <w:jc w:val="both"/>
        <w:rPr>
          <w:sz w:val="22"/>
        </w:rPr>
      </w:pPr>
      <w:r w:rsidRPr="00772B1A">
        <w:rPr>
          <w:sz w:val="22"/>
        </w:rPr>
        <w:t>Aby zidentyfikować cechy, które potencjalnie mogą warunkować odporność kukurydzy na fuzariozę kolb lub zgorzel podstawy łodygi scharakteryzowano</w:t>
      </w:r>
      <w:r>
        <w:rPr>
          <w:sz w:val="22"/>
        </w:rPr>
        <w:t xml:space="preserve"> również mieszańce pokolenia </w:t>
      </w:r>
      <w:r w:rsidRPr="00772B1A">
        <w:rPr>
          <w:color w:val="000000"/>
          <w:sz w:val="22"/>
        </w:rPr>
        <w:t>F</w:t>
      </w:r>
      <w:r w:rsidRPr="00772B1A">
        <w:rPr>
          <w:color w:val="000000"/>
          <w:sz w:val="22"/>
          <w:vertAlign w:val="subscript"/>
        </w:rPr>
        <w:t>1</w:t>
      </w:r>
      <w:r>
        <w:rPr>
          <w:color w:val="000000"/>
          <w:sz w:val="22"/>
          <w:vertAlign w:val="subscript"/>
        </w:rPr>
        <w:t xml:space="preserve">. </w:t>
      </w:r>
      <w:r w:rsidRPr="00D57D2F">
        <w:rPr>
          <w:sz w:val="22"/>
          <w:lang w:eastAsia="pl-PL"/>
        </w:rPr>
        <w:t>W opisie fenotypu roślin pokole</w:t>
      </w:r>
      <w:r>
        <w:rPr>
          <w:sz w:val="22"/>
          <w:lang w:eastAsia="pl-PL"/>
        </w:rPr>
        <w:t>ń</w:t>
      </w:r>
      <w:r w:rsidRPr="00D57D2F">
        <w:rPr>
          <w:sz w:val="22"/>
          <w:lang w:eastAsia="pl-PL"/>
        </w:rPr>
        <w:t xml:space="preserve"> F</w:t>
      </w:r>
      <w:r w:rsidRPr="00CE09AB">
        <w:rPr>
          <w:sz w:val="22"/>
          <w:vertAlign w:val="subscript"/>
          <w:lang w:eastAsia="pl-PL"/>
        </w:rPr>
        <w:t>1</w:t>
      </w:r>
      <w:r w:rsidRPr="00D57D2F">
        <w:rPr>
          <w:sz w:val="22"/>
          <w:lang w:eastAsia="pl-PL"/>
        </w:rPr>
        <w:t xml:space="preserve"> </w:t>
      </w:r>
      <w:r>
        <w:rPr>
          <w:sz w:val="22"/>
          <w:lang w:eastAsia="pl-PL"/>
        </w:rPr>
        <w:t>(F</w:t>
      </w:r>
      <w:r w:rsidRPr="008E3A2F">
        <w:rPr>
          <w:sz w:val="22"/>
          <w:vertAlign w:val="subscript"/>
          <w:lang w:eastAsia="pl-PL"/>
        </w:rPr>
        <w:t>1</w:t>
      </w:r>
      <w:r w:rsidRPr="00356A11">
        <w:rPr>
          <w:sz w:val="22"/>
          <w:lang w:eastAsia="pl-PL"/>
        </w:rPr>
        <w:t>-</w:t>
      </w:r>
      <w:r>
        <w:rPr>
          <w:sz w:val="22"/>
          <w:lang w:eastAsia="pl-PL"/>
        </w:rPr>
        <w:t>2 – F</w:t>
      </w:r>
      <w:r w:rsidRPr="008E3A2F">
        <w:rPr>
          <w:sz w:val="22"/>
          <w:vertAlign w:val="subscript"/>
          <w:lang w:eastAsia="pl-PL"/>
        </w:rPr>
        <w:t>1</w:t>
      </w:r>
      <w:r w:rsidRPr="00356A11">
        <w:rPr>
          <w:sz w:val="22"/>
          <w:lang w:eastAsia="pl-PL"/>
        </w:rPr>
        <w:t>-</w:t>
      </w:r>
      <w:r>
        <w:rPr>
          <w:sz w:val="22"/>
          <w:lang w:eastAsia="pl-PL"/>
        </w:rPr>
        <w:t xml:space="preserve">30) </w:t>
      </w:r>
      <w:r w:rsidRPr="00D57D2F">
        <w:rPr>
          <w:sz w:val="22"/>
          <w:lang w:eastAsia="pl-PL"/>
        </w:rPr>
        <w:t>zosta</w:t>
      </w:r>
      <w:r>
        <w:rPr>
          <w:sz w:val="22"/>
          <w:lang w:eastAsia="pl-PL"/>
        </w:rPr>
        <w:t>ły</w:t>
      </w:r>
      <w:r w:rsidRPr="00D57D2F">
        <w:rPr>
          <w:sz w:val="22"/>
          <w:lang w:eastAsia="pl-PL"/>
        </w:rPr>
        <w:t xml:space="preserve"> uwzględnione cechy, które są uwzgl</w:t>
      </w:r>
      <w:r>
        <w:rPr>
          <w:sz w:val="22"/>
          <w:lang w:eastAsia="pl-PL"/>
        </w:rPr>
        <w:t>ę</w:t>
      </w:r>
      <w:r w:rsidRPr="00D57D2F">
        <w:rPr>
          <w:sz w:val="22"/>
          <w:lang w:eastAsia="pl-PL"/>
        </w:rPr>
        <w:t xml:space="preserve">dnione </w:t>
      </w:r>
      <w:r>
        <w:rPr>
          <w:sz w:val="22"/>
          <w:lang w:eastAsia="pl-PL"/>
        </w:rPr>
        <w:t xml:space="preserve">zostały przy opisie linii wsobnych. Stopień odporności na fuzariozę kolb i zgorzel podstawy łodygi prowadzono, podobnie jak poprzednio przy infekcji naturalnej i po zakażeniach sztucznych, na podstawie ocen fenotypowych porażenia kolb lub łodyg oraz na podstawie zawartości </w:t>
      </w:r>
      <w:proofErr w:type="spellStart"/>
      <w:r>
        <w:rPr>
          <w:sz w:val="22"/>
          <w:lang w:eastAsia="pl-PL"/>
        </w:rPr>
        <w:t>deoksyniwalenolu</w:t>
      </w:r>
      <w:proofErr w:type="spellEnd"/>
      <w:r>
        <w:rPr>
          <w:sz w:val="22"/>
          <w:lang w:eastAsia="pl-PL"/>
        </w:rPr>
        <w:t xml:space="preserve"> w ziarnie i osadkach. Wyka</w:t>
      </w:r>
      <w:r w:rsidR="00772B1A" w:rsidRPr="00772B1A">
        <w:rPr>
          <w:color w:val="000000"/>
          <w:sz w:val="22"/>
        </w:rPr>
        <w:t>zano, że: (1) w</w:t>
      </w:r>
      <w:r w:rsidR="00772B1A" w:rsidRPr="00772B1A">
        <w:rPr>
          <w:sz w:val="22"/>
        </w:rPr>
        <w:t xml:space="preserve">ykorzystanie w programach hodowlanych form o podwyższonej odporności i niskiej zdolności do kumulacji toksyn w ziarnie i osadkach pozwala uzyskać postęp hodowlany dla tych cech, ponieważ efektywność selekcji w obrębie tych populacji jest znacznie większa, niż w obrębie populacji, których formami rodzicielskimi są formy średnio-odporne lub podatne (2) najlepszym wskaźnikiem stopnia odporności na fuzariozę kolb jest zawartość DON w osadkach a cechy fenotypowe mogą wspomagać proces selekcji, (3) w przypadku mieszańców długość kanału od końca osadki kolby do końca liści okrywowych istotnie wpływała na rozwój choroby i wzrost zawartości DON w ziarnie i osadkach, czego nie stwierdzono dla linii wsobnych </w:t>
      </w:r>
    </w:p>
    <w:p w:rsidR="00772B1A" w:rsidRPr="00772B1A" w:rsidRDefault="00772B1A" w:rsidP="00772B1A">
      <w:pPr>
        <w:pStyle w:val="Akapitzlist"/>
        <w:spacing w:after="0"/>
        <w:ind w:left="0" w:firstLine="567"/>
        <w:jc w:val="both"/>
        <w:rPr>
          <w:sz w:val="22"/>
        </w:rPr>
      </w:pPr>
    </w:p>
    <w:p w:rsidR="00315591" w:rsidRDefault="00772B1A" w:rsidP="00772B1A">
      <w:pPr>
        <w:pStyle w:val="Akapitzlist"/>
        <w:spacing w:after="0"/>
        <w:ind w:left="0"/>
        <w:jc w:val="center"/>
        <w:rPr>
          <w:color w:val="000000"/>
          <w:sz w:val="22"/>
        </w:rPr>
      </w:pPr>
      <w:r>
        <w:rPr>
          <w:noProof/>
          <w:sz w:val="22"/>
          <w:lang w:eastAsia="pl-PL"/>
        </w:rPr>
        <w:lastRenderedPageBreak/>
        <w:drawing>
          <wp:inline distT="0" distB="0" distL="0" distR="0" wp14:anchorId="5D84639A" wp14:editId="3AEDEFB9">
            <wp:extent cx="4999512" cy="3886768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393" cy="389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C74" w:rsidRPr="001F0D4C" w:rsidRDefault="00892C74" w:rsidP="00892C74">
      <w:pPr>
        <w:pStyle w:val="Tekstpodstawowywcity"/>
        <w:ind w:left="1134" w:hanging="1134"/>
        <w:jc w:val="both"/>
        <w:rPr>
          <w:rFonts w:ascii="Times New Roman" w:hAnsi="Times New Roman"/>
          <w:szCs w:val="20"/>
        </w:rPr>
      </w:pPr>
      <w:r w:rsidRPr="001F0D4C">
        <w:rPr>
          <w:rFonts w:ascii="Times New Roman" w:hAnsi="Times New Roman"/>
          <w:szCs w:val="20"/>
        </w:rPr>
        <w:t xml:space="preserve">Rysunek 3. Relacje pomiędzy liniami wsobnymi w układzie dwóch pierwszych składowych głównych wyodrębnionych oraz </w:t>
      </w:r>
      <w:r w:rsidR="00AD4BF7">
        <w:rPr>
          <w:rFonts w:ascii="Times New Roman" w:hAnsi="Times New Roman"/>
          <w:szCs w:val="20"/>
          <w:lang w:val="pl-PL"/>
        </w:rPr>
        <w:t xml:space="preserve">cech </w:t>
      </w:r>
      <w:r w:rsidRPr="001F0D4C">
        <w:rPr>
          <w:rFonts w:ascii="Times New Roman" w:hAnsi="Times New Roman"/>
          <w:szCs w:val="20"/>
        </w:rPr>
        <w:t>fenotypowych roslin</w:t>
      </w:r>
    </w:p>
    <w:p w:rsidR="00892C74" w:rsidRDefault="00892C74" w:rsidP="00772B1A">
      <w:pPr>
        <w:pStyle w:val="Akapitzlist"/>
        <w:spacing w:after="0"/>
        <w:ind w:left="0"/>
        <w:jc w:val="center"/>
        <w:rPr>
          <w:color w:val="000000"/>
          <w:sz w:val="22"/>
        </w:rPr>
      </w:pPr>
      <w:r>
        <w:rPr>
          <w:noProof/>
          <w:lang w:eastAsia="pl-PL"/>
        </w:rPr>
        <w:drawing>
          <wp:inline distT="0" distB="0" distL="0" distR="0" wp14:anchorId="02762C3A" wp14:editId="0A8B717C">
            <wp:extent cx="4750130" cy="3674144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12" cy="367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C74" w:rsidRDefault="00892C74" w:rsidP="00772B1A">
      <w:pPr>
        <w:pStyle w:val="Akapitzlist"/>
        <w:spacing w:after="0"/>
        <w:ind w:left="0"/>
        <w:jc w:val="center"/>
        <w:rPr>
          <w:color w:val="000000"/>
          <w:sz w:val="22"/>
        </w:rPr>
      </w:pPr>
    </w:p>
    <w:p w:rsidR="00892C74" w:rsidRPr="001F0D4C" w:rsidRDefault="00892C74" w:rsidP="00892C74">
      <w:pPr>
        <w:pStyle w:val="Tekstpodstawowywcity"/>
        <w:ind w:left="1134" w:hanging="1134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Rysunek 4</w:t>
      </w:r>
      <w:r w:rsidRPr="001F0D4C">
        <w:rPr>
          <w:rFonts w:ascii="Times New Roman" w:hAnsi="Times New Roman"/>
          <w:szCs w:val="20"/>
        </w:rPr>
        <w:t xml:space="preserve">. Relacje pomiędzy </w:t>
      </w:r>
      <w:r>
        <w:rPr>
          <w:rFonts w:ascii="Times New Roman" w:hAnsi="Times New Roman"/>
          <w:szCs w:val="20"/>
        </w:rPr>
        <w:t>mieszańcami</w:t>
      </w:r>
      <w:r w:rsidRPr="001F0D4C">
        <w:rPr>
          <w:rFonts w:ascii="Times New Roman" w:hAnsi="Times New Roman"/>
          <w:szCs w:val="20"/>
        </w:rPr>
        <w:t xml:space="preserve"> w układzie dwóch pierwszych składowych głównych wyodrębnionych na bazie wyników ocen odporności na fuzariozę kolb oraz zawartości DON w ziarnie i osadkach w fazie fazie dojrzałości pełnej przy infekcji naturalnej oraz po zakażeniach sztucznych </w:t>
      </w:r>
      <w:r w:rsidRPr="001F0D4C">
        <w:rPr>
          <w:rFonts w:ascii="Times New Roman" w:hAnsi="Times New Roman"/>
          <w:i/>
          <w:szCs w:val="20"/>
        </w:rPr>
        <w:t>F. graminearum</w:t>
      </w:r>
      <w:r w:rsidRPr="001F0D4C">
        <w:rPr>
          <w:rFonts w:ascii="Times New Roman" w:hAnsi="Times New Roman"/>
          <w:szCs w:val="20"/>
        </w:rPr>
        <w:t>, oraz na podstawie ocen fenotypowych roslin (wysokość roślin, złożoność wiechy, antocyjan osadki i antocyjan słupki)</w:t>
      </w:r>
    </w:p>
    <w:p w:rsidR="006E0369" w:rsidRPr="006D5ADA" w:rsidRDefault="006E0369" w:rsidP="006E0369">
      <w:pPr>
        <w:pStyle w:val="Akapitzlist"/>
        <w:spacing w:after="0"/>
        <w:ind w:left="0"/>
        <w:rPr>
          <w:i/>
          <w:color w:val="000000"/>
          <w:sz w:val="22"/>
        </w:rPr>
      </w:pPr>
      <w:r w:rsidRPr="006D5ADA">
        <w:rPr>
          <w:i/>
          <w:color w:val="000000"/>
          <w:sz w:val="22"/>
        </w:rPr>
        <w:lastRenderedPageBreak/>
        <w:t xml:space="preserve">Badanie efektywności poszukiwania źródeł odporności metodą rodowodową wspomaganą </w:t>
      </w:r>
      <w:r w:rsidR="006D5ADA">
        <w:rPr>
          <w:i/>
          <w:color w:val="000000"/>
          <w:sz w:val="22"/>
        </w:rPr>
        <w:t xml:space="preserve">opisem </w:t>
      </w:r>
      <w:r w:rsidRPr="006D5ADA">
        <w:rPr>
          <w:i/>
          <w:color w:val="000000"/>
          <w:sz w:val="22"/>
        </w:rPr>
        <w:t>cech fenotypowy</w:t>
      </w:r>
      <w:r w:rsidR="001A711C">
        <w:rPr>
          <w:i/>
          <w:color w:val="000000"/>
          <w:sz w:val="22"/>
        </w:rPr>
        <w:t>ch roś</w:t>
      </w:r>
      <w:r w:rsidR="006D5ADA">
        <w:rPr>
          <w:i/>
          <w:color w:val="000000"/>
          <w:sz w:val="22"/>
        </w:rPr>
        <w:t>lin</w:t>
      </w:r>
    </w:p>
    <w:p w:rsidR="006E0369" w:rsidRDefault="006E0369" w:rsidP="00772B1A">
      <w:pPr>
        <w:pStyle w:val="Akapitzlist"/>
        <w:spacing w:after="0"/>
        <w:ind w:left="0"/>
        <w:jc w:val="center"/>
        <w:rPr>
          <w:color w:val="000000"/>
          <w:sz w:val="22"/>
        </w:rPr>
      </w:pPr>
    </w:p>
    <w:p w:rsidR="006E0369" w:rsidRPr="008B44F7" w:rsidRDefault="006E0369" w:rsidP="006D5AD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Charakteryzując pokolenia So, S1, S2 i S3 w</w:t>
      </w:r>
      <w:r>
        <w:rPr>
          <w:sz w:val="22"/>
          <w:szCs w:val="22"/>
        </w:rPr>
        <w:t>stepnie można stwierdzić, że uwzględniając tylko oceny fenotypowe stopnia porażenia kolb,</w:t>
      </w:r>
      <w:r w:rsidRPr="00100CB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8B44F7">
        <w:rPr>
          <w:sz w:val="22"/>
          <w:szCs w:val="22"/>
        </w:rPr>
        <w:t xml:space="preserve">etoda rodowodowa </w:t>
      </w:r>
      <w:r>
        <w:rPr>
          <w:sz w:val="22"/>
          <w:szCs w:val="22"/>
        </w:rPr>
        <w:t xml:space="preserve">może </w:t>
      </w:r>
      <w:r w:rsidRPr="008B44F7">
        <w:rPr>
          <w:sz w:val="22"/>
          <w:szCs w:val="22"/>
        </w:rPr>
        <w:t>pozw</w:t>
      </w:r>
      <w:r>
        <w:rPr>
          <w:sz w:val="22"/>
          <w:szCs w:val="22"/>
        </w:rPr>
        <w:t>olić</w:t>
      </w:r>
      <w:r w:rsidRPr="008B44F7">
        <w:rPr>
          <w:sz w:val="22"/>
          <w:szCs w:val="22"/>
        </w:rPr>
        <w:t xml:space="preserve"> na uzyskanie postępu biologicznego dla stopnia odporności na fuzariozę</w:t>
      </w:r>
      <w:r>
        <w:rPr>
          <w:sz w:val="22"/>
          <w:szCs w:val="22"/>
        </w:rPr>
        <w:t xml:space="preserve"> kolb, jednak jest to proces długotrwały, musi być prowadzony</w:t>
      </w:r>
      <w:r w:rsidRPr="00A240C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 zakażeniach sztucznych </w:t>
      </w:r>
      <w:r w:rsidRPr="00100CB6">
        <w:rPr>
          <w:i/>
          <w:sz w:val="22"/>
          <w:szCs w:val="22"/>
        </w:rPr>
        <w:t xml:space="preserve">Fusarium graminearum </w:t>
      </w:r>
      <w:r>
        <w:rPr>
          <w:sz w:val="22"/>
          <w:szCs w:val="22"/>
        </w:rPr>
        <w:t>i na przestrzeni wielu lat.</w:t>
      </w:r>
      <w:r w:rsidR="006D5ADA">
        <w:rPr>
          <w:sz w:val="22"/>
          <w:szCs w:val="22"/>
        </w:rPr>
        <w:t xml:space="preserve"> Wfektywność tej metody wspomaganej opisem cech fenotypowych będzie okreslona w kolejnych latach badań.</w:t>
      </w:r>
    </w:p>
    <w:p w:rsidR="006E0369" w:rsidRPr="006E0369" w:rsidRDefault="006E0369" w:rsidP="00772B1A">
      <w:pPr>
        <w:pStyle w:val="Akapitzlist"/>
        <w:spacing w:after="0"/>
        <w:ind w:left="0"/>
        <w:jc w:val="center"/>
        <w:rPr>
          <w:color w:val="000000"/>
          <w:sz w:val="22"/>
        </w:rPr>
      </w:pPr>
      <w:bookmarkStart w:id="0" w:name="_GoBack"/>
      <w:bookmarkEnd w:id="0"/>
    </w:p>
    <w:sectPr w:rsidR="006E0369" w:rsidRPr="006E0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5B7"/>
    <w:multiLevelType w:val="hybridMultilevel"/>
    <w:tmpl w:val="29CAA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6693D"/>
    <w:multiLevelType w:val="hybridMultilevel"/>
    <w:tmpl w:val="29CAA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8B"/>
    <w:rsid w:val="00053C77"/>
    <w:rsid w:val="000A2D33"/>
    <w:rsid w:val="000A78A8"/>
    <w:rsid w:val="000B34E0"/>
    <w:rsid w:val="001A711C"/>
    <w:rsid w:val="00315591"/>
    <w:rsid w:val="003A4BB5"/>
    <w:rsid w:val="00482517"/>
    <w:rsid w:val="004B793D"/>
    <w:rsid w:val="005D7FF9"/>
    <w:rsid w:val="006D5ADA"/>
    <w:rsid w:val="006E0369"/>
    <w:rsid w:val="00772B1A"/>
    <w:rsid w:val="008118CB"/>
    <w:rsid w:val="00880C5F"/>
    <w:rsid w:val="00892C74"/>
    <w:rsid w:val="008F73FB"/>
    <w:rsid w:val="009E5AF2"/>
    <w:rsid w:val="00A316E5"/>
    <w:rsid w:val="00A66E85"/>
    <w:rsid w:val="00AD4BF7"/>
    <w:rsid w:val="00AF7E8B"/>
    <w:rsid w:val="00F8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E8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E85"/>
    <w:pPr>
      <w:spacing w:after="200" w:line="276" w:lineRule="auto"/>
      <w:ind w:left="720"/>
      <w:contextualSpacing/>
    </w:pPr>
    <w:rPr>
      <w:rFonts w:eastAsia="Calibri"/>
      <w:noProof w:val="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B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B1A"/>
    <w:rPr>
      <w:rFonts w:ascii="Tahoma" w:eastAsia="Times New Roman" w:hAnsi="Tahoma" w:cs="Tahoma"/>
      <w:noProof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92C74"/>
    <w:pPr>
      <w:ind w:left="1440" w:hanging="360"/>
    </w:pPr>
    <w:rPr>
      <w:rFonts w:ascii="Arial" w:hAnsi="Arial"/>
      <w:sz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2C74"/>
    <w:rPr>
      <w:rFonts w:ascii="Arial" w:eastAsia="Times New Roman" w:hAnsi="Arial" w:cs="Times New Roman"/>
      <w:noProof/>
      <w:sz w:val="20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E8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E85"/>
    <w:pPr>
      <w:spacing w:after="200" w:line="276" w:lineRule="auto"/>
      <w:ind w:left="720"/>
      <w:contextualSpacing/>
    </w:pPr>
    <w:rPr>
      <w:rFonts w:eastAsia="Calibri"/>
      <w:noProof w:val="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B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B1A"/>
    <w:rPr>
      <w:rFonts w:ascii="Tahoma" w:eastAsia="Times New Roman" w:hAnsi="Tahoma" w:cs="Tahoma"/>
      <w:noProof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92C74"/>
    <w:pPr>
      <w:ind w:left="1440" w:hanging="360"/>
    </w:pPr>
    <w:rPr>
      <w:rFonts w:ascii="Arial" w:hAnsi="Arial"/>
      <w:sz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2C74"/>
    <w:rPr>
      <w:rFonts w:ascii="Arial" w:eastAsia="Times New Roman" w:hAnsi="Arial" w:cs="Times New Roman"/>
      <w:noProof/>
      <w:sz w:val="20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Hodowli i Aklimatyzacji Roślin - PIB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</dc:creator>
  <cp:lastModifiedBy>unknown</cp:lastModifiedBy>
  <cp:revision>17</cp:revision>
  <dcterms:created xsi:type="dcterms:W3CDTF">2016-01-08T12:05:00Z</dcterms:created>
  <dcterms:modified xsi:type="dcterms:W3CDTF">2016-01-15T12:46:00Z</dcterms:modified>
</cp:coreProperties>
</file>