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EF" w:rsidRP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b/>
        </w:rPr>
      </w:pPr>
      <w:r w:rsidRPr="008A54EF">
        <w:rPr>
          <w:b/>
        </w:rPr>
        <w:t xml:space="preserve">Zadanie nr 38. </w:t>
      </w:r>
    </w:p>
    <w:p w:rsidR="008A54EF" w:rsidRP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b/>
        </w:rPr>
      </w:pPr>
      <w:r w:rsidRPr="008A54EF">
        <w:rPr>
          <w:b/>
        </w:rPr>
        <w:t>Badanie cech warunkujących zawiązywanie nasion, ich jakość oraz plon w wybranych gatunkach traw wieloletnich</w:t>
      </w:r>
    </w:p>
    <w:p w:rsidR="0044120B" w:rsidRPr="005E3F62" w:rsidRDefault="005E3F62">
      <w:pPr>
        <w:rPr>
          <w:rFonts w:ascii="Times New Roman" w:hAnsi="Times New Roman" w:cs="Times New Roman"/>
          <w:b/>
        </w:rPr>
      </w:pPr>
      <w:r w:rsidRPr="005E3F62">
        <w:rPr>
          <w:rFonts w:ascii="Times New Roman" w:hAnsi="Times New Roman" w:cs="Times New Roman"/>
          <w:b/>
        </w:rPr>
        <w:t xml:space="preserve">Kierownik: dr hab. inż. Grzegorz Żurek, profesor </w:t>
      </w:r>
      <w:proofErr w:type="spellStart"/>
      <w:r w:rsidRPr="005E3F62">
        <w:rPr>
          <w:rFonts w:ascii="Times New Roman" w:hAnsi="Times New Roman" w:cs="Times New Roman"/>
          <w:b/>
        </w:rPr>
        <w:t>nzw</w:t>
      </w:r>
      <w:proofErr w:type="spellEnd"/>
      <w:r w:rsidRPr="005E3F62">
        <w:rPr>
          <w:rFonts w:ascii="Times New Roman" w:hAnsi="Times New Roman" w:cs="Times New Roman"/>
          <w:b/>
        </w:rPr>
        <w:t>. IHAR-PIB</w:t>
      </w:r>
    </w:p>
    <w:p w:rsidR="008A54EF" w:rsidRPr="008A54EF" w:rsidRDefault="008A54EF">
      <w:pPr>
        <w:rPr>
          <w:rFonts w:ascii="Times New Roman" w:hAnsi="Times New Roman" w:cs="Times New Roman"/>
        </w:rPr>
      </w:pPr>
      <w:r w:rsidRPr="008A54EF">
        <w:rPr>
          <w:rFonts w:ascii="Times New Roman" w:hAnsi="Times New Roman" w:cs="Times New Roman"/>
        </w:rPr>
        <w:t>Streszczenie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Cechy decydujące o zdolności reprodukcyjnej traw wieloletnich są ze sobą wzajemnie powiązane i zaburzenie jakiegokolwiek elementu tego złożonego procesu powoduje zachwianie potencjału reprodukcyjnego. Dla właściwej oceny wpływu wielu cech warunkujących efektywność reprodukcji generatywnej traw niezbędne jest określenie ich wewnątrz- oraz </w:t>
      </w:r>
      <w:proofErr w:type="spellStart"/>
      <w:r w:rsidRPr="001E1DFB">
        <w:rPr>
          <w:sz w:val="22"/>
        </w:rPr>
        <w:t>międzyobiektowej</w:t>
      </w:r>
      <w:proofErr w:type="spellEnd"/>
      <w:r w:rsidRPr="001E1DFB">
        <w:rPr>
          <w:sz w:val="22"/>
        </w:rPr>
        <w:t xml:space="preserve"> zmienności a następnie zidentyfikowanie kierunku oraz siły zależności pomiędzy tymi cechami. Celem zadania w roku 2018 było określenie zróżnicowania wewnątrz- i </w:t>
      </w:r>
      <w:proofErr w:type="spellStart"/>
      <w:r w:rsidRPr="001E1DFB">
        <w:rPr>
          <w:sz w:val="22"/>
        </w:rPr>
        <w:t>międzyobiektowego</w:t>
      </w:r>
      <w:proofErr w:type="spellEnd"/>
      <w:r w:rsidRPr="001E1DFB">
        <w:rPr>
          <w:sz w:val="22"/>
        </w:rPr>
        <w:t xml:space="preserve"> badanych form traw wieloletnich w obrębie zestawu cech związanych z plonowaniem generatywnym, jak również wybranych cech fizjologicznych jak np. zawartość azotu w liściach, określana pośrednio za pomocą pomiaru zawartości chlorofilu w pierwszym pełnym roku wegetacji traw.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>W roku 2018 b</w:t>
      </w:r>
      <w:r w:rsidRPr="001E1DFB">
        <w:rPr>
          <w:sz w:val="22"/>
        </w:rPr>
        <w:t>adano</w:t>
      </w:r>
      <w:r w:rsidRPr="001E1DFB">
        <w:rPr>
          <w:b/>
          <w:sz w:val="22"/>
        </w:rPr>
        <w:t xml:space="preserve"> </w:t>
      </w:r>
      <w:r w:rsidRPr="001E1DFB">
        <w:rPr>
          <w:sz w:val="22"/>
        </w:rPr>
        <w:t>14 obiektów w dwóch gatunkach: wiechlinie łąkowej (</w:t>
      </w:r>
      <w:r w:rsidRPr="001E1DFB">
        <w:rPr>
          <w:i/>
          <w:sz w:val="22"/>
        </w:rPr>
        <w:t>Poa pratensis</w:t>
      </w:r>
      <w:r w:rsidRPr="001E1DFB">
        <w:rPr>
          <w:sz w:val="22"/>
        </w:rPr>
        <w:t xml:space="preserve"> L.): odmiany Alicja, Balin, Bila, Compact, Limagie i rody: NI-400, NI-401 oraz życicy trwałej (</w:t>
      </w:r>
      <w:r w:rsidRPr="001E1DFB">
        <w:rPr>
          <w:i/>
          <w:sz w:val="22"/>
        </w:rPr>
        <w:t>Lolium perenne</w:t>
      </w:r>
      <w:r w:rsidRPr="001E1DFB">
        <w:rPr>
          <w:sz w:val="22"/>
        </w:rPr>
        <w:t xml:space="preserve"> L.): Amarant 4n, Bajka 2n, Brawa 4n, Nira 2n i rody: DS-117, NI-402, NI-403. Badania realizowano w układzie doświadczenia ścisłego 3-powtórzeniowego w 4 lokalizacjach w kraju: Radzików, Szelejewo, Nieznanice i Grodkowice. Oceniano po 50 roślin na obiekt w ramach powtórzenia w każdej z lokalizacji, pod względem 18 cech: przezimowanie, pokrój, początek kłoszenia i kwitnienia, szacunkowy plon zielonej masy w pełni kłoszenia, wysokość roślin w pełni kwitnienia, długość i szerokość liścia </w:t>
      </w:r>
      <w:proofErr w:type="spellStart"/>
      <w:r w:rsidRPr="001E1DFB">
        <w:rPr>
          <w:sz w:val="22"/>
        </w:rPr>
        <w:t>podflagowego</w:t>
      </w:r>
      <w:proofErr w:type="spellEnd"/>
      <w:r w:rsidRPr="001E1DFB">
        <w:rPr>
          <w:sz w:val="22"/>
        </w:rPr>
        <w:t xml:space="preserve">, względna zawartość chlorofilu, zawartość azotu w roślinach, liczba pędów generatywnych na roślinie, plon nasion z kwiatostanu, plon nasion z rośliny, plon nasion z poletka, długość kwiatostanu, osypywanie nasion, ciężar 1000 nasion oraz  zdolność kiełkowania. 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Czynnikiem niezbędnym dla wykształcenia odpowiedniej ilości żywotnych nasion są opady, rozmieszczone równomiernie na wiosnę oraz wczesnym latem (Griffiths i </w:t>
      </w:r>
      <w:proofErr w:type="spellStart"/>
      <w:r w:rsidRPr="001E1DFB">
        <w:rPr>
          <w:sz w:val="22"/>
        </w:rPr>
        <w:t>wsp</w:t>
      </w:r>
      <w:proofErr w:type="spellEnd"/>
      <w:r w:rsidRPr="001E1DFB">
        <w:rPr>
          <w:sz w:val="22"/>
        </w:rPr>
        <w:t xml:space="preserve">. 1978). Warunki panujące w sezonie wegetacyjnym 2018 były przeciwieństwem takiego wzorcowego układu. Na wiosnę było sucho i chłodno a w lipcu i sierpniu – bardzo mokro.  Miało to istotne znaczenie dla stopnia ekspresji poszczególnych badanych cech.  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>W wypadku wiechliny łąkowej, stwierdza się dominujący wpływ genotypu jako nośnika genetycznych cech plonowania nasiennego oraz na istotną zależność plonu nasion od interakcji genotypowo-środowiskowej (</w:t>
      </w:r>
      <w:proofErr w:type="spellStart"/>
      <w:r w:rsidRPr="001E1DFB">
        <w:rPr>
          <w:sz w:val="22"/>
        </w:rPr>
        <w:t>Godshalk</w:t>
      </w:r>
      <w:proofErr w:type="spellEnd"/>
      <w:r w:rsidRPr="001E1DFB">
        <w:rPr>
          <w:sz w:val="22"/>
        </w:rPr>
        <w:t xml:space="preserve"> i </w:t>
      </w:r>
      <w:proofErr w:type="spellStart"/>
      <w:r w:rsidRPr="001E1DFB">
        <w:rPr>
          <w:sz w:val="22"/>
        </w:rPr>
        <w:t>wsp</w:t>
      </w:r>
      <w:proofErr w:type="spellEnd"/>
      <w:r w:rsidRPr="001E1DFB">
        <w:rPr>
          <w:sz w:val="22"/>
        </w:rPr>
        <w:t>; 1998). W niniejszych badaniach w roku 2018 zanotowano taką interakcję dla długości kwiatostanu, liczby pędów generatywnych oraz plonu nasion z rośliny.  Obiektem o najwyższych plonach nasion, z równocześnie znaczną liczbą pędów generatywnych była odmiana Compact (średnio 14,4 grama nasion z rośliny przy 217 pędach generatywnych). Nieco mniej zanotowano dla Ni-401 oraz Limagie (odpowiednio: 13,4 grama nasion i 221 pędów oraz 11,1 g nasion i 187 pędów).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>Wiechlina łąkowa, z racji systemu rozmnażania zwanego apomiksją fakultatywną, uważana jest z gatunek mało zmienny w obrębie genotypów oraz bardziej zmienny pomiędzy genotypami (</w:t>
      </w:r>
      <w:proofErr w:type="spellStart"/>
      <w:r w:rsidRPr="001E1DFB">
        <w:rPr>
          <w:sz w:val="22"/>
        </w:rPr>
        <w:t>Huff</w:t>
      </w:r>
      <w:proofErr w:type="spellEnd"/>
      <w:r w:rsidRPr="001E1DFB">
        <w:rPr>
          <w:sz w:val="22"/>
        </w:rPr>
        <w:t xml:space="preserve">, 2010). Zależność ta potwierdziła się w roku 2018 dla odmiany Compact oraz Limagie dla kilku cech. Jednakże dla obiektów takich jak Alicja i Balin zanotowano zależność odwrotną. Podobnie było dla Ni-400 oraz Ni-401, co można wytłumaczyć trwającymi w tych rodach pracami hodowlanymi, które mają dopiero doprowadzić do ich ujednolicenia.  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U życicy trwałej rośliny o najdłuższych kwiatostanach wytworzyły: odmiana Amarant (średnio 22,1 cm) oraz ród DS.-117 (średnio 22,0 cm). Dłuższe kwiatostany miały odmiany tetraploidalne (Amarant i Brawa – średnio 21,9 cm) w porównaniu do odmian diploidalnych (Bajka i Nira – średnio 16,9 cm). </w:t>
      </w:r>
      <w:r w:rsidRPr="001E1DFB">
        <w:rPr>
          <w:sz w:val="22"/>
        </w:rPr>
        <w:lastRenderedPageBreak/>
        <w:t>To jednak nie przekładało się na różnice w liczbie pędów generatywnych, których u odmian diploidalnych było więcej średnio o 60 sztuk na roślinę w porównaniu do odmian tetraploidalnych. Największe ilości pędów generatywnych na roślinę stwierdzono w Szelejewie (średnio 269), natomiast najmniejsze – w Radzikowie i Nieznanicach (średnio 178 i 179). Najwyższe plony nasion z rośliny stwierdzono dla  odmiany Amarant (średnio 23,6 g), natomiast najniższe – dla rodu Ni-402 (12,8 g). Najlepiej badane obiekty plonowały w Radzikowie (średnio 21,4 g nasion na roślinę) a najgorzej w Nieznanicach (średnio 7,5 g nasion na roślinę).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Zmienność </w:t>
      </w:r>
      <w:proofErr w:type="spellStart"/>
      <w:r w:rsidRPr="001E1DFB">
        <w:rPr>
          <w:sz w:val="22"/>
        </w:rPr>
        <w:t>wewnątrzobiektowa</w:t>
      </w:r>
      <w:proofErr w:type="spellEnd"/>
      <w:r w:rsidRPr="001E1DFB">
        <w:rPr>
          <w:sz w:val="22"/>
        </w:rPr>
        <w:t xml:space="preserve"> odmian życicy trwałej Bajka i Brawa była niższa od zmienności </w:t>
      </w:r>
      <w:proofErr w:type="spellStart"/>
      <w:r w:rsidRPr="001E1DFB">
        <w:rPr>
          <w:sz w:val="22"/>
        </w:rPr>
        <w:t>międzyobiektowej</w:t>
      </w:r>
      <w:proofErr w:type="spellEnd"/>
      <w:r w:rsidRPr="001E1DFB">
        <w:rPr>
          <w:sz w:val="22"/>
        </w:rPr>
        <w:t xml:space="preserve"> po względem takich jak: przezimowanie, szacunkowy plon biomasy, zawartość chlorofilu i azotu (Bajka) oraz pokrój, liczba dni do kłoszenia (Brawa) jak również liczba dni do kwitnienia (obydwie odmiany). Zmienność </w:t>
      </w:r>
      <w:proofErr w:type="spellStart"/>
      <w:r w:rsidRPr="001E1DFB">
        <w:rPr>
          <w:sz w:val="22"/>
        </w:rPr>
        <w:t>wewnątrzobiektowa</w:t>
      </w:r>
      <w:proofErr w:type="spellEnd"/>
      <w:r w:rsidRPr="001E1DFB">
        <w:rPr>
          <w:sz w:val="22"/>
        </w:rPr>
        <w:t xml:space="preserve"> rodów zazwyczaj przewyższała zmienność </w:t>
      </w:r>
      <w:proofErr w:type="spellStart"/>
      <w:r w:rsidRPr="001E1DFB">
        <w:rPr>
          <w:sz w:val="22"/>
        </w:rPr>
        <w:t>międzyobiektową</w:t>
      </w:r>
      <w:proofErr w:type="spellEnd"/>
      <w:r w:rsidRPr="001E1DFB">
        <w:rPr>
          <w:sz w:val="22"/>
        </w:rPr>
        <w:t xml:space="preserve">. Dotyczyło to zwłaszcza rodu DS.-117 w cechach takich jak: przezimowanie, liczba dni do kwitnienia, długość liścia </w:t>
      </w:r>
      <w:proofErr w:type="spellStart"/>
      <w:r w:rsidRPr="001E1DFB">
        <w:rPr>
          <w:sz w:val="22"/>
        </w:rPr>
        <w:t>podflagowego</w:t>
      </w:r>
      <w:proofErr w:type="spellEnd"/>
      <w:r w:rsidRPr="001E1DFB">
        <w:rPr>
          <w:sz w:val="22"/>
        </w:rPr>
        <w:t xml:space="preserve">, zawartość chlorofilu i azotu. 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Pod względem cech bezpośrednio związanych z plonowaniem nasiennym porównanie zmienności </w:t>
      </w:r>
      <w:proofErr w:type="spellStart"/>
      <w:r w:rsidRPr="001E1DFB">
        <w:rPr>
          <w:sz w:val="22"/>
        </w:rPr>
        <w:t>międzyobiektowej</w:t>
      </w:r>
      <w:proofErr w:type="spellEnd"/>
      <w:r w:rsidRPr="001E1DFB">
        <w:rPr>
          <w:sz w:val="22"/>
        </w:rPr>
        <w:t xml:space="preserve"> i </w:t>
      </w:r>
      <w:proofErr w:type="spellStart"/>
      <w:r w:rsidRPr="001E1DFB">
        <w:rPr>
          <w:sz w:val="22"/>
        </w:rPr>
        <w:t>wewnątrzobiektowej</w:t>
      </w:r>
      <w:proofErr w:type="spellEnd"/>
      <w:r w:rsidRPr="001E1DFB">
        <w:rPr>
          <w:sz w:val="22"/>
        </w:rPr>
        <w:t xml:space="preserve"> wskazuje na większą zmienność pomiędzy badanymi obiektami niż wewnątrz nich w cechach takich jak: liczba pędów generatywnych, plon nasion z poletka oraz masa tysiąca nasion. Z kolei dla plonu nasion z kwiatostanu stwierdzono relację odwrotną. W przypadku rodów Ni-402 oraz Ni-403 stwierdzono przewagę zmienności </w:t>
      </w:r>
      <w:proofErr w:type="spellStart"/>
      <w:r w:rsidRPr="001E1DFB">
        <w:rPr>
          <w:sz w:val="22"/>
        </w:rPr>
        <w:t>wewnątrzobiektowej</w:t>
      </w:r>
      <w:proofErr w:type="spellEnd"/>
      <w:r w:rsidRPr="001E1DFB">
        <w:rPr>
          <w:sz w:val="22"/>
        </w:rPr>
        <w:t xml:space="preserve"> nad </w:t>
      </w:r>
      <w:proofErr w:type="spellStart"/>
      <w:r w:rsidRPr="001E1DFB">
        <w:rPr>
          <w:sz w:val="22"/>
        </w:rPr>
        <w:t>międzyobiektową</w:t>
      </w:r>
      <w:proofErr w:type="spellEnd"/>
      <w:r w:rsidRPr="001E1DFB">
        <w:rPr>
          <w:sz w:val="22"/>
        </w:rPr>
        <w:t xml:space="preserve"> dla cech: liczba pędów generatywnych, plon nasion z kwiatostanu oraz długość kwiatostanu.</w:t>
      </w:r>
    </w:p>
    <w:p w:rsidR="001E1DFB" w:rsidRDefault="008A54EF" w:rsidP="001E1DFB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  <w:r w:rsidRPr="001E1DFB">
        <w:rPr>
          <w:sz w:val="22"/>
        </w:rPr>
        <w:t xml:space="preserve">Dla określenia, które z ocenianych w 2018 roku cech związane były najsilniej z plonowaniem nasiennym, przeprowadzono analizę regresji wielokrotnej, metodą krokową wsteczną (tabela 1). </w:t>
      </w:r>
    </w:p>
    <w:p w:rsidR="001E1DFB" w:rsidRDefault="001E1DFB" w:rsidP="00FD76F8">
      <w:pPr>
        <w:rPr>
          <w:rFonts w:ascii="Times New Roman" w:hAnsi="Times New Roman" w:cs="Times New Roman"/>
          <w:b/>
        </w:rPr>
      </w:pPr>
    </w:p>
    <w:p w:rsidR="00FD76F8" w:rsidRPr="001E1DFB" w:rsidRDefault="00FD76F8" w:rsidP="001E1DFB">
      <w:pPr>
        <w:jc w:val="both"/>
        <w:rPr>
          <w:color w:val="FF0000"/>
          <w:sz w:val="20"/>
        </w:rPr>
      </w:pPr>
      <w:r w:rsidRPr="001E1DFB">
        <w:rPr>
          <w:rFonts w:ascii="Times New Roman" w:hAnsi="Times New Roman" w:cs="Times New Roman"/>
          <w:b/>
          <w:sz w:val="20"/>
        </w:rPr>
        <w:t>T</w:t>
      </w:r>
      <w:r w:rsidRPr="001E1DFB">
        <w:rPr>
          <w:rFonts w:ascii="Times New Roman" w:hAnsi="Times New Roman" w:cs="Times New Roman"/>
          <w:b/>
          <w:sz w:val="20"/>
        </w:rPr>
        <w:t xml:space="preserve">abela 1. </w:t>
      </w:r>
      <w:r w:rsidRPr="001E1DFB">
        <w:rPr>
          <w:rFonts w:ascii="Times New Roman" w:hAnsi="Times New Roman" w:cs="Times New Roman"/>
          <w:sz w:val="20"/>
        </w:rPr>
        <w:t>Współczynniki analizy regresji wielokrotnej dla plonu nasion z rośliny. W tabeli podano współczynniki regresji standaryzowane (b*), niestandaryzowane (b) oraz istotność (</w:t>
      </w:r>
      <w:r w:rsidRPr="001E1DFB">
        <w:rPr>
          <w:rFonts w:ascii="Times New Roman" w:hAnsi="Times New Roman" w:cs="Times New Roman"/>
          <w:i/>
          <w:sz w:val="20"/>
        </w:rPr>
        <w:t>p</w:t>
      </w:r>
      <w:r w:rsidRPr="001E1DFB">
        <w:rPr>
          <w:rFonts w:ascii="Times New Roman" w:hAnsi="Times New Roman" w:cs="Times New Roman"/>
          <w:sz w:val="20"/>
        </w:rPr>
        <w:t xml:space="preserve">) poszczególnych </w:t>
      </w:r>
      <w:proofErr w:type="spellStart"/>
      <w:r w:rsidRPr="001E1DFB">
        <w:rPr>
          <w:rFonts w:ascii="Times New Roman" w:hAnsi="Times New Roman" w:cs="Times New Roman"/>
          <w:sz w:val="20"/>
        </w:rPr>
        <w:t>predytkorów</w:t>
      </w:r>
      <w:proofErr w:type="spellEnd"/>
      <w:r w:rsidRPr="001E1DFB">
        <w:rPr>
          <w:rFonts w:ascii="Times New Roman" w:hAnsi="Times New Roman" w:cs="Times New Roman"/>
          <w:sz w:val="20"/>
        </w:rPr>
        <w:t>.</w:t>
      </w:r>
    </w:p>
    <w:tbl>
      <w:tblPr>
        <w:tblW w:w="8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960"/>
        <w:gridCol w:w="960"/>
        <w:gridCol w:w="960"/>
        <w:gridCol w:w="960"/>
        <w:gridCol w:w="960"/>
        <w:gridCol w:w="960"/>
      </w:tblGrid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b/>
                <w:color w:val="000000"/>
                <w:sz w:val="20"/>
              </w:rPr>
              <w:t>Cecha/</w:t>
            </w:r>
            <w:proofErr w:type="spellStart"/>
            <w:r w:rsidRPr="008A54EF">
              <w:rPr>
                <w:rFonts w:ascii="Times New Roman" w:hAnsi="Times New Roman" w:cs="Times New Roman"/>
                <w:b/>
                <w:color w:val="000000"/>
                <w:sz w:val="20"/>
              </w:rPr>
              <w:t>predyktor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</w:rPr>
              <w:t>Lolium perenne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</w:rPr>
              <w:t>Poa pratensis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i/>
                <w:iCs/>
                <w:color w:val="000000"/>
                <w:sz w:val="20"/>
              </w:rPr>
              <w:t>p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liczba pędów generatywnych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0,000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plon nasion z kwiatostanu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71,109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87,733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0,000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szacunkowy plon zielonej masy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1,095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0,017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wysokość roślin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długość liścia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0,008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długość kwiatostanu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0,262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zawartość azotu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-1,099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2,136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0,360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przezimowanie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0,045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szerokość liścia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1,628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-1,307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0,238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pokrój roślin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-1,032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 xml:space="preserve"> - </w:t>
            </w:r>
          </w:p>
        </w:tc>
      </w:tr>
      <w:tr w:rsidR="00FD76F8" w:rsidRPr="008A54EF" w:rsidTr="000E1131">
        <w:trPr>
          <w:trHeight w:hRule="exact" w:val="284"/>
          <w:jc w:val="center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76F8" w:rsidRPr="008A54EF" w:rsidRDefault="00FD76F8" w:rsidP="000E113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liczba dni do kwitnienia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-0,126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F8" w:rsidRPr="008A54EF" w:rsidRDefault="00FD76F8" w:rsidP="000E113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A54EF">
              <w:rPr>
                <w:rFonts w:ascii="Times New Roman" w:hAnsi="Times New Roman" w:cs="Times New Roman"/>
                <w:sz w:val="20"/>
              </w:rPr>
              <w:t>0,137</w:t>
            </w:r>
          </w:p>
        </w:tc>
      </w:tr>
    </w:tbl>
    <w:p w:rsidR="00FD76F8" w:rsidRPr="008A54EF" w:rsidRDefault="00FD76F8" w:rsidP="00FD76F8">
      <w:pPr>
        <w:spacing w:after="0" w:line="240" w:lineRule="auto"/>
        <w:rPr>
          <w:rFonts w:ascii="Times New Roman" w:hAnsi="Times New Roman" w:cs="Times New Roman"/>
          <w:sz w:val="18"/>
        </w:rPr>
      </w:pPr>
      <w:r>
        <w:t xml:space="preserve">   </w:t>
      </w:r>
      <w:r>
        <w:tab/>
      </w:r>
      <w:r w:rsidRPr="008A54EF">
        <w:rPr>
          <w:rFonts w:ascii="Times New Roman" w:hAnsi="Times New Roman" w:cs="Times New Roman"/>
        </w:rPr>
        <w:t xml:space="preserve"> </w:t>
      </w:r>
      <w:r w:rsidRPr="008A54EF">
        <w:rPr>
          <w:rFonts w:ascii="Times New Roman" w:hAnsi="Times New Roman" w:cs="Times New Roman"/>
          <w:sz w:val="18"/>
        </w:rPr>
        <w:t>R</w:t>
      </w:r>
      <w:r w:rsidRPr="008A54EF">
        <w:rPr>
          <w:rFonts w:ascii="Times New Roman" w:hAnsi="Times New Roman" w:cs="Times New Roman"/>
          <w:sz w:val="18"/>
          <w:vertAlign w:val="superscript"/>
        </w:rPr>
        <w:t>2</w:t>
      </w:r>
      <w:r w:rsidRPr="008A54EF">
        <w:rPr>
          <w:rFonts w:ascii="Times New Roman" w:hAnsi="Times New Roman" w:cs="Times New Roman"/>
          <w:sz w:val="18"/>
        </w:rPr>
        <w:t xml:space="preserve"> skorygowane</w:t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6"/>
        </w:rPr>
        <w:t>0,744</w:t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  <w:t xml:space="preserve">           </w:t>
      </w:r>
      <w:r w:rsidRPr="008A54EF">
        <w:rPr>
          <w:rFonts w:ascii="Times New Roman" w:hAnsi="Times New Roman" w:cs="Times New Roman"/>
          <w:sz w:val="16"/>
        </w:rPr>
        <w:t>0,831</w:t>
      </w:r>
    </w:p>
    <w:p w:rsidR="00FD76F8" w:rsidRPr="008A54EF" w:rsidRDefault="00FD76F8" w:rsidP="00FD76F8">
      <w:pPr>
        <w:spacing w:after="0" w:line="240" w:lineRule="auto"/>
        <w:rPr>
          <w:rFonts w:ascii="Times New Roman" w:hAnsi="Times New Roman" w:cs="Times New Roman"/>
          <w:sz w:val="18"/>
        </w:rPr>
      </w:pPr>
      <w:r w:rsidRPr="008A54EF">
        <w:rPr>
          <w:rFonts w:ascii="Times New Roman" w:hAnsi="Times New Roman" w:cs="Times New Roman"/>
          <w:sz w:val="18"/>
        </w:rPr>
        <w:t xml:space="preserve">   </w:t>
      </w:r>
      <w:r w:rsidRPr="008A54EF">
        <w:rPr>
          <w:rFonts w:ascii="Times New Roman" w:hAnsi="Times New Roman" w:cs="Times New Roman"/>
          <w:sz w:val="18"/>
        </w:rPr>
        <w:tab/>
        <w:t xml:space="preserve"> p</w:t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>0</w:t>
      </w:r>
      <w:r w:rsidRPr="008A54EF">
        <w:rPr>
          <w:rFonts w:ascii="Times New Roman" w:hAnsi="Times New Roman" w:cs="Times New Roman"/>
          <w:sz w:val="16"/>
        </w:rPr>
        <w:t>,000</w:t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</w:r>
      <w:r w:rsidRPr="008A54EF">
        <w:rPr>
          <w:rFonts w:ascii="Times New Roman" w:hAnsi="Times New Roman" w:cs="Times New Roman"/>
          <w:sz w:val="18"/>
        </w:rPr>
        <w:tab/>
        <w:t xml:space="preserve">           </w:t>
      </w:r>
      <w:r w:rsidRPr="008A54EF">
        <w:rPr>
          <w:rFonts w:ascii="Times New Roman" w:hAnsi="Times New Roman" w:cs="Times New Roman"/>
          <w:sz w:val="16"/>
        </w:rPr>
        <w:t>0,000</w:t>
      </w:r>
    </w:p>
    <w:p w:rsidR="00FD76F8" w:rsidRPr="008A54EF" w:rsidRDefault="00FD76F8" w:rsidP="00FD76F8">
      <w:pPr>
        <w:pStyle w:val="gwp076c0a16msonormal"/>
        <w:shd w:val="clear" w:color="auto" w:fill="FFFFFF"/>
        <w:spacing w:before="0" w:beforeAutospacing="0" w:after="0" w:afterAutospacing="0"/>
        <w:jc w:val="both"/>
      </w:pPr>
      <w:r w:rsidRPr="008A54EF">
        <w:rPr>
          <w:sz w:val="18"/>
          <w:szCs w:val="22"/>
        </w:rPr>
        <w:t xml:space="preserve">    </w:t>
      </w:r>
      <w:r w:rsidRPr="008A54EF">
        <w:rPr>
          <w:sz w:val="18"/>
          <w:szCs w:val="22"/>
        </w:rPr>
        <w:tab/>
      </w:r>
      <w:r>
        <w:rPr>
          <w:sz w:val="18"/>
          <w:szCs w:val="22"/>
        </w:rPr>
        <w:t xml:space="preserve"> </w:t>
      </w:r>
      <w:r w:rsidRPr="008A54EF">
        <w:rPr>
          <w:sz w:val="18"/>
          <w:szCs w:val="22"/>
        </w:rPr>
        <w:t>błąd estymacji</w:t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</w:r>
      <w:r w:rsidRPr="008A54EF">
        <w:rPr>
          <w:sz w:val="16"/>
          <w:szCs w:val="22"/>
        </w:rPr>
        <w:t>3,891</w:t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</w:r>
      <w:r w:rsidRPr="008A54EF">
        <w:rPr>
          <w:sz w:val="18"/>
          <w:szCs w:val="22"/>
        </w:rPr>
        <w:tab/>
        <w:t xml:space="preserve">           </w:t>
      </w:r>
      <w:r w:rsidRPr="008A54EF">
        <w:rPr>
          <w:sz w:val="16"/>
          <w:szCs w:val="22"/>
        </w:rPr>
        <w:t>1,998</w:t>
      </w:r>
    </w:p>
    <w:p w:rsidR="00FD76F8" w:rsidRDefault="00FD76F8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</w:pPr>
    </w:p>
    <w:p w:rsidR="001E1DFB" w:rsidRPr="001E1DFB" w:rsidRDefault="001E1DFB" w:rsidP="001E1DFB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Uzyskane wyniki wskazują na różną liczbę cech, których zmienność jest najsilniej związana ze zmiennością plonu nasion z rośliny. Dla życicy trwałej takich cech było 11 a dla wiechliny łąkowej – 9. Cechami o zmienności najsilniej związanej ze zmiennością plonu nasion z rośliny badanych obiektów życicy trwałej były: liczba pędów generatywnych, plon nasion z kwiatostanu oraz długość liścia. Nieco mniejsze wartości parametru b skorygowanego stwierdzono dla: wysokości roślin, </w:t>
      </w:r>
      <w:r w:rsidRPr="001E1DFB">
        <w:rPr>
          <w:sz w:val="22"/>
        </w:rPr>
        <w:lastRenderedPageBreak/>
        <w:t xml:space="preserve">długości kwiatostanu i szerokości liścia. Zależność pomiędzy wielkością aparatu </w:t>
      </w:r>
      <w:proofErr w:type="spellStart"/>
      <w:r w:rsidRPr="001E1DFB">
        <w:rPr>
          <w:sz w:val="22"/>
        </w:rPr>
        <w:t>fotosyntetycznego</w:t>
      </w:r>
      <w:proofErr w:type="spellEnd"/>
      <w:r w:rsidRPr="001E1DFB">
        <w:rPr>
          <w:sz w:val="22"/>
        </w:rPr>
        <w:t xml:space="preserve"> (szerokość i długość liścia) a plonem nasion stwierdzono już w badaniach nad kostrzewą łąkową (Fang i </w:t>
      </w:r>
      <w:proofErr w:type="spellStart"/>
      <w:r w:rsidRPr="001E1DFB">
        <w:rPr>
          <w:sz w:val="22"/>
        </w:rPr>
        <w:t>wsp</w:t>
      </w:r>
      <w:proofErr w:type="spellEnd"/>
      <w:r w:rsidRPr="001E1DFB">
        <w:rPr>
          <w:sz w:val="22"/>
        </w:rPr>
        <w:t xml:space="preserve">. 2004). W przypadku wiechliny łąkowej takich zależności nie stwierdzono w roku 2018. Dla tego gatunku cechą o najwyższej wartości parametru b skorygowanego była liczba pędów generatywnych. Nieco niższą wartość tego parametru obliczono dla plonu nasion z kwiatostanu, szacunkowego plonu zielonej masy oraz długości liścia (dla tej cechy relacja ujemna). </w:t>
      </w:r>
    </w:p>
    <w:p w:rsidR="008A54EF" w:rsidRPr="001E1DFB" w:rsidRDefault="008A54EF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1E1DFB">
        <w:rPr>
          <w:sz w:val="22"/>
        </w:rPr>
        <w:t xml:space="preserve">W roku 2018 stwierdzono również dodatnią, istotną statystycznie wartość współczynnika korelacji pomiędzy zawartością azotu w roślinach życicy trwałej a plonem nasion z kwiatostanu (tabela 2). Dla pełniejszej analizy tego typu zależności niezbędne są kolejne lata badań. </w:t>
      </w:r>
    </w:p>
    <w:p w:rsid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A54EF" w:rsidRPr="001E1DFB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sz w:val="20"/>
        </w:rPr>
      </w:pPr>
      <w:r w:rsidRPr="001E1DFB">
        <w:rPr>
          <w:b/>
          <w:sz w:val="20"/>
        </w:rPr>
        <w:t>Tabela 2.</w:t>
      </w:r>
      <w:r w:rsidRPr="001E1DFB">
        <w:rPr>
          <w:sz w:val="20"/>
        </w:rPr>
        <w:t xml:space="preserve"> Średnie wartości zawartości azotu w roślinach, plonu nasion oraz współczynniki korelacji między tymi cechami. </w:t>
      </w:r>
    </w:p>
    <w:p w:rsid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</w:pPr>
    </w:p>
    <w:tbl>
      <w:tblPr>
        <w:tblW w:w="69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855"/>
        <w:gridCol w:w="851"/>
        <w:gridCol w:w="850"/>
        <w:gridCol w:w="851"/>
        <w:gridCol w:w="992"/>
        <w:gridCol w:w="850"/>
      </w:tblGrid>
      <w:tr w:rsidR="008A54EF" w:rsidRPr="008A54EF" w:rsidTr="008A54EF">
        <w:trPr>
          <w:trHeight w:hRule="exact" w:val="22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odmiany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Zawartość azotu (%)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Plon nasion z:</w:t>
            </w:r>
          </w:p>
        </w:tc>
      </w:tr>
      <w:tr w:rsidR="008A54EF" w:rsidRPr="008A54EF" w:rsidTr="008A54EF">
        <w:trPr>
          <w:trHeight w:hRule="exact" w:val="227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N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umer</w:t>
            </w: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kwiatostanu (g) 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poletka (kg):</w:t>
            </w:r>
          </w:p>
        </w:tc>
      </w:tr>
      <w:tr w:rsidR="008A54EF" w:rsidRPr="008A54EF" w:rsidTr="008A54EF">
        <w:trPr>
          <w:trHeight w:hRule="exact" w:val="227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R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odu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śr</w:t>
            </w:r>
            <w:proofErr w:type="spellEnd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śr</w:t>
            </w:r>
            <w:proofErr w:type="spellEnd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śr</w:t>
            </w:r>
            <w:proofErr w:type="spellEnd"/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Pr="007A5F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</w:rPr>
              <w:t>e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69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życica trwała (</w:t>
            </w:r>
            <w:r w:rsidRPr="007A5FE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20"/>
              </w:rPr>
              <w:t>Lolium perenne</w:t>
            </w: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L.)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Amarant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Bajka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Brawa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Nira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DS.-117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Ni-402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Ni0403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5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Współczynnik</w:t>
            </w: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>i</w:t>
            </w: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korelacji</w:t>
            </w: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zawartości azotu z</w:t>
            </w: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>:            plonem nasion z kwiatostanu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>plonem nasion z poletka</w:t>
            </w:r>
          </w:p>
        </w:tc>
      </w:tr>
      <w:tr w:rsidR="008A54EF" w:rsidRPr="007A5F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sz w:val="20"/>
                <w:szCs w:val="20"/>
              </w:rPr>
              <w:t>0,268 **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0,156 </w:t>
            </w:r>
            <w:proofErr w:type="spellStart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n.i</w:t>
            </w:r>
            <w:proofErr w:type="spellEnd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69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wiechlina łąkowa (</w:t>
            </w:r>
            <w:r w:rsidRPr="007A5FE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20"/>
              </w:rPr>
              <w:t>Poa pratensis</w:t>
            </w: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L.)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Balin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Bila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Compact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Limagie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Ni-400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20"/>
              </w:rPr>
              <w:t>Ni-401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8A54EF" w:rsidRPr="008A54EF" w:rsidTr="008A54EF">
        <w:trPr>
          <w:trHeight w:hRule="exact" w:val="284"/>
          <w:jc w:val="center"/>
        </w:trPr>
        <w:tc>
          <w:tcPr>
            <w:tcW w:w="5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Współczynnik</w:t>
            </w: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>i</w:t>
            </w:r>
            <w:r w:rsidRPr="007A5FEF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korelacji zawartości azotu z:</w:t>
            </w: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 xml:space="preserve">             plonem nasion z kwiatostanu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4EF">
              <w:rPr>
                <w:rFonts w:ascii="Times New Roman" w:hAnsi="Times New Roman" w:cs="Times New Roman"/>
                <w:color w:val="000000"/>
                <w:sz w:val="18"/>
              </w:rPr>
              <w:t>plonem nasion z poletka</w:t>
            </w:r>
          </w:p>
        </w:tc>
      </w:tr>
      <w:tr w:rsidR="008A54EF" w:rsidRPr="007A5FEF" w:rsidTr="008A54EF">
        <w:trPr>
          <w:trHeight w:hRule="exact" w:val="284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4EF" w:rsidRPr="007A5FEF" w:rsidRDefault="008A54EF" w:rsidP="000E11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0,207 </w:t>
            </w:r>
            <w:proofErr w:type="spellStart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n.i</w:t>
            </w:r>
            <w:proofErr w:type="spellEnd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4EF" w:rsidRPr="007A5FEF" w:rsidRDefault="008A54EF" w:rsidP="000E113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- 0,145 </w:t>
            </w:r>
            <w:proofErr w:type="spellStart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n.i</w:t>
            </w:r>
            <w:proofErr w:type="spellEnd"/>
            <w:r w:rsidRPr="007A5F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8A54EF" w:rsidRPr="00490693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center"/>
        <w:rPr>
          <w:sz w:val="20"/>
        </w:rPr>
      </w:pPr>
      <w:r w:rsidRPr="00490693">
        <w:rPr>
          <w:sz w:val="20"/>
        </w:rPr>
        <w:t xml:space="preserve">Objaśnienie: </w:t>
      </w:r>
      <w:proofErr w:type="spellStart"/>
      <w:r w:rsidRPr="007A5FEF">
        <w:rPr>
          <w:b/>
          <w:bCs/>
          <w:color w:val="000000"/>
          <w:sz w:val="16"/>
          <w:szCs w:val="20"/>
        </w:rPr>
        <w:t>X</w:t>
      </w:r>
      <w:r w:rsidRPr="007A5FEF">
        <w:rPr>
          <w:b/>
          <w:bCs/>
          <w:color w:val="000000"/>
          <w:sz w:val="16"/>
          <w:szCs w:val="20"/>
          <w:vertAlign w:val="subscript"/>
        </w:rPr>
        <w:t>śr</w:t>
      </w:r>
      <w:proofErr w:type="spellEnd"/>
      <w:r w:rsidRPr="007A5FEF">
        <w:rPr>
          <w:b/>
          <w:bCs/>
          <w:color w:val="000000"/>
          <w:sz w:val="16"/>
          <w:szCs w:val="20"/>
        </w:rPr>
        <w:t>.</w:t>
      </w:r>
      <w:r w:rsidRPr="00490693">
        <w:rPr>
          <w:b/>
          <w:bCs/>
          <w:color w:val="000000"/>
          <w:sz w:val="16"/>
          <w:szCs w:val="20"/>
        </w:rPr>
        <w:t xml:space="preserve"> – </w:t>
      </w:r>
      <w:r w:rsidRPr="00490693">
        <w:rPr>
          <w:bCs/>
          <w:color w:val="000000"/>
          <w:sz w:val="16"/>
          <w:szCs w:val="20"/>
        </w:rPr>
        <w:t xml:space="preserve">wartość średnia cechy, </w:t>
      </w:r>
      <w:r w:rsidRPr="007A5FEF">
        <w:rPr>
          <w:b/>
          <w:bCs/>
          <w:color w:val="000000"/>
          <w:sz w:val="16"/>
          <w:szCs w:val="20"/>
        </w:rPr>
        <w:t>S</w:t>
      </w:r>
      <w:r w:rsidRPr="007A5FEF">
        <w:rPr>
          <w:b/>
          <w:bCs/>
          <w:color w:val="000000"/>
          <w:sz w:val="16"/>
          <w:szCs w:val="20"/>
          <w:vertAlign w:val="subscript"/>
        </w:rPr>
        <w:t>e</w:t>
      </w:r>
      <w:r w:rsidRPr="00490693">
        <w:rPr>
          <w:b/>
          <w:bCs/>
          <w:color w:val="000000"/>
          <w:sz w:val="16"/>
          <w:szCs w:val="20"/>
          <w:vertAlign w:val="subscript"/>
        </w:rPr>
        <w:t xml:space="preserve"> </w:t>
      </w:r>
      <w:r w:rsidRPr="00490693">
        <w:rPr>
          <w:b/>
          <w:bCs/>
          <w:color w:val="000000"/>
          <w:sz w:val="16"/>
          <w:szCs w:val="20"/>
        </w:rPr>
        <w:t xml:space="preserve">– </w:t>
      </w:r>
      <w:r w:rsidRPr="00490693">
        <w:rPr>
          <w:bCs/>
          <w:color w:val="000000"/>
          <w:sz w:val="16"/>
          <w:szCs w:val="20"/>
        </w:rPr>
        <w:t xml:space="preserve">błąd standardowy, ** - istotność </w:t>
      </w:r>
      <w:proofErr w:type="spellStart"/>
      <w:r w:rsidRPr="00490693">
        <w:rPr>
          <w:bCs/>
          <w:color w:val="000000"/>
          <w:sz w:val="16"/>
          <w:szCs w:val="20"/>
        </w:rPr>
        <w:t>wsp</w:t>
      </w:r>
      <w:proofErr w:type="spellEnd"/>
      <w:r w:rsidRPr="00490693">
        <w:rPr>
          <w:bCs/>
          <w:color w:val="000000"/>
          <w:sz w:val="16"/>
          <w:szCs w:val="20"/>
        </w:rPr>
        <w:t>. k</w:t>
      </w:r>
      <w:r>
        <w:rPr>
          <w:bCs/>
          <w:color w:val="000000"/>
          <w:sz w:val="16"/>
          <w:szCs w:val="20"/>
        </w:rPr>
        <w:t>orelacji na poziomie α</w:t>
      </w:r>
      <w:r w:rsidRPr="00490693">
        <w:rPr>
          <w:bCs/>
          <w:color w:val="000000"/>
          <w:sz w:val="16"/>
          <w:szCs w:val="20"/>
        </w:rPr>
        <w:t xml:space="preserve"> &gt; 0,05</w:t>
      </w:r>
    </w:p>
    <w:p w:rsidR="001E1DFB" w:rsidRDefault="001E1DFB" w:rsidP="001E1DFB">
      <w:pPr>
        <w:pStyle w:val="gwp076c0a16msonormal"/>
        <w:shd w:val="clear" w:color="auto" w:fill="FFFFFF"/>
        <w:spacing w:before="0" w:beforeAutospacing="0" w:after="0" w:afterAutospacing="0" w:line="360" w:lineRule="auto"/>
        <w:jc w:val="both"/>
        <w:rPr>
          <w:b/>
          <w:lang w:val="en-US"/>
        </w:rPr>
      </w:pPr>
    </w:p>
    <w:p w:rsidR="001E1DFB" w:rsidRPr="008A54EF" w:rsidRDefault="001E1DFB" w:rsidP="001E1DFB">
      <w:pPr>
        <w:pStyle w:val="gwp076c0a16msonormal"/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proofErr w:type="spellStart"/>
      <w:r w:rsidRPr="001E1DFB">
        <w:rPr>
          <w:b/>
          <w:sz w:val="22"/>
          <w:lang w:val="en-US"/>
        </w:rPr>
        <w:t>Literatura</w:t>
      </w:r>
      <w:proofErr w:type="spellEnd"/>
      <w:r w:rsidRPr="001E1DFB">
        <w:rPr>
          <w:sz w:val="22"/>
          <w:lang w:val="en-US"/>
        </w:rPr>
        <w:t>:</w:t>
      </w:r>
      <w:r w:rsidRPr="008A54EF">
        <w:rPr>
          <w:lang w:val="en-US"/>
        </w:rPr>
        <w:t xml:space="preserve"> </w:t>
      </w:r>
    </w:p>
    <w:p w:rsidR="001E1DFB" w:rsidRPr="00FD76F8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r w:rsidRPr="00FD76F8">
        <w:rPr>
          <w:rFonts w:ascii="Times New Roman" w:hAnsi="Times New Roman" w:cs="Times New Roman"/>
          <w:sz w:val="20"/>
          <w:lang w:val="en-US"/>
        </w:rPr>
        <w:t xml:space="preserve">Fang C.,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Aamlid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T.S.,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Jørgensen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Ø.,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Rognli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O.A. 2004. Phenotypic and genotypic variation in seed production traits within a full-sib family of meadow fescue. Plant Breeding 123, 241 – 246.</w:t>
      </w:r>
    </w:p>
    <w:p w:rsidR="001E1DFB" w:rsidRPr="00FD76F8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r w:rsidRPr="00FD76F8">
        <w:rPr>
          <w:rFonts w:ascii="Times New Roman" w:hAnsi="Times New Roman" w:cs="Times New Roman"/>
          <w:sz w:val="20"/>
          <w:lang w:val="en-US"/>
        </w:rPr>
        <w:t xml:space="preserve">Huff D.R. 2010. Bluegrasses. W: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Boller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B. (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wyd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.) Fodder Crops and Amenity Grasses. Handbook of Plant Breeding 5, Springer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Science+Business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Media, LLC, 345 – 379. </w:t>
      </w:r>
    </w:p>
    <w:p w:rsidR="001E1DFB" w:rsidRPr="00FD76F8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Godshalk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E.B.,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Shenk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J.S.,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Rincker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C.M. 1984. Genotype, environment and genotype x environment interaction effects on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orchardgrass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seed and forage production. Agronomy Abstracts, ASA, Madison, p. 67.</w:t>
      </w:r>
    </w:p>
    <w:p w:rsidR="001E1DFB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r w:rsidRPr="00FD76F8">
        <w:rPr>
          <w:rFonts w:ascii="Times New Roman" w:hAnsi="Times New Roman" w:cs="Times New Roman"/>
          <w:sz w:val="20"/>
          <w:lang w:val="en-US"/>
        </w:rPr>
        <w:t xml:space="preserve">Griffiths D.J., Roberts, H.M,  Bean E.W., Lewis J., Pegler R. A. D.,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Carr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A. J. H.,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Stoddart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J.L. 1978. Principles of herbage seed production. Technical Bulletin no. 1. Welsh Plant Breeding Station,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Plas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Gogerddan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near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Aberystwyth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Walia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>, 1 – 149.</w:t>
      </w:r>
    </w:p>
    <w:p w:rsidR="001E1DFB" w:rsidRPr="00FD76F8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p w:rsidR="008A54EF" w:rsidRPr="001E1DFB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sectPr w:rsidR="008A54EF" w:rsidRPr="001E1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4EF"/>
    <w:rsid w:val="001E1DFB"/>
    <w:rsid w:val="0044120B"/>
    <w:rsid w:val="005E3F62"/>
    <w:rsid w:val="008A54EF"/>
    <w:rsid w:val="00FD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A5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076c0a16msonormal">
    <w:name w:val="gwp076c0a16_msonormal"/>
    <w:basedOn w:val="Normalny"/>
    <w:rsid w:val="008A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A5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076c0a16msonormal">
    <w:name w:val="gwp076c0a16_msonormal"/>
    <w:basedOn w:val="Normalny"/>
    <w:rsid w:val="008A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3</Pages>
  <Words>1459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Żurek</dc:creator>
  <cp:lastModifiedBy>Grzegorz Żurek</cp:lastModifiedBy>
  <cp:revision>4</cp:revision>
  <dcterms:created xsi:type="dcterms:W3CDTF">2018-12-06T14:49:00Z</dcterms:created>
  <dcterms:modified xsi:type="dcterms:W3CDTF">2018-12-07T07:18:00Z</dcterms:modified>
</cp:coreProperties>
</file>